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tabs>
          <w:tab w:val="clear" w:pos="1296"/>
          <w:tab w:val="left" w:pos="567" w:leader="none"/>
          <w:tab w:val="left" w:pos="851" w:leader="none"/>
        </w:tabs>
        <w:jc w:val="center"/>
        <w:rPr>
          <w:rFonts w:ascii="Arial" w:hAnsi="Arial" w:cs="Arial"/>
          <w:b/>
          <w:bCs/>
          <w:caps/>
          <w:szCs w:val="24"/>
        </w:rPr>
      </w:pPr>
      <w:r>
        <w:rPr>
          <w:rFonts w:cs="Arial" w:ascii="Arial" w:hAnsi="Arial"/>
          <w:b/>
          <w:bCs/>
          <w:caps/>
          <w:szCs w:val="24"/>
        </w:rPr>
        <w:t>paslaugų pirkimo-pardavimo sutarties Specialiosios sąlygos</w:t>
      </w:r>
    </w:p>
    <w:p>
      <w:pPr>
        <w:pStyle w:val="Normal"/>
        <w:tabs>
          <w:tab w:val="clear" w:pos="1296"/>
          <w:tab w:val="left" w:pos="5400" w:leader="none"/>
        </w:tabs>
        <w:textAlignment w:val="center"/>
        <w:rPr>
          <w:rFonts w:ascii="Arial" w:hAnsi="Arial" w:cs="Arial"/>
          <w:szCs w:val="24"/>
        </w:rPr>
      </w:pPr>
      <w:r>
        <w:rPr>
          <w:rFonts w:cs="Arial" w:ascii="Arial" w:hAnsi="Arial"/>
          <w:szCs w:val="24"/>
        </w:rPr>
      </w:r>
    </w:p>
    <w:tbl>
      <w:tblPr>
        <w:tblW w:w="1009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45"/>
        <w:gridCol w:w="2180"/>
        <w:gridCol w:w="2361"/>
        <w:gridCol w:w="3111"/>
      </w:tblGrid>
      <w:tr>
        <w:trPr/>
        <w:tc>
          <w:tcPr>
            <w:tcW w:w="2445"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b/>
                <w:kern w:val="2"/>
                <w:szCs w:val="24"/>
              </w:rPr>
            </w:pPr>
            <w:r>
              <w:rPr>
                <w:rFonts w:cs="Arial" w:ascii="Arial" w:hAnsi="Arial"/>
                <w:b/>
                <w:kern w:val="2"/>
                <w:szCs w:val="24"/>
              </w:rPr>
              <w:t>Sutarties pavadinimas</w:t>
            </w:r>
          </w:p>
        </w:tc>
        <w:tc>
          <w:tcPr>
            <w:tcW w:w="7652"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b/>
                <w:bCs/>
                <w:caps/>
                <w:szCs w:val="24"/>
                <w:shd w:fill="FFFFFF" w:val="clear"/>
              </w:rPr>
            </w:pPr>
            <w:r>
              <w:rPr>
                <w:rFonts w:cs="Arial" w:ascii="Arial" w:hAnsi="Arial"/>
                <w:b/>
                <w:bCs/>
                <w:szCs w:val="24"/>
                <w:shd w:fill="FFFFFF" w:val="clear"/>
              </w:rPr>
              <w:t>PRIENŲ RAJONO SAVIVALDYBĖS GYVENAMŲJŲ VIETOVIŲ PANAIKINIMO, NUSTATYMO IR PAVADINIMŲ SUTEIKIMO, TERITORIJŲ RIBŲ NUSTATYMO PLANO PARENGIMAS</w:t>
            </w:r>
          </w:p>
        </w:tc>
      </w:tr>
      <w:tr>
        <w:trPr/>
        <w:tc>
          <w:tcPr>
            <w:tcW w:w="2445"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b/>
                <w:kern w:val="2"/>
                <w:szCs w:val="24"/>
              </w:rPr>
            </w:pPr>
            <w:r>
              <w:rPr>
                <w:rFonts w:cs="Arial" w:ascii="Arial" w:hAnsi="Arial"/>
                <w:b/>
                <w:kern w:val="2"/>
                <w:szCs w:val="24"/>
              </w:rPr>
              <w:t>Sutarties data</w:t>
            </w:r>
          </w:p>
        </w:tc>
        <w:tc>
          <w:tcPr>
            <w:tcW w:w="2180"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r>
          </w:p>
        </w:tc>
        <w:tc>
          <w:tcPr>
            <w:tcW w:w="236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b/>
                <w:kern w:val="2"/>
                <w:szCs w:val="24"/>
              </w:rPr>
            </w:pPr>
            <w:r>
              <w:rPr>
                <w:rFonts w:cs="Arial" w:ascii="Arial" w:hAnsi="Arial"/>
                <w:b/>
                <w:kern w:val="2"/>
                <w:szCs w:val="24"/>
              </w:rPr>
              <w:t>Sutarties numeris</w:t>
            </w:r>
          </w:p>
        </w:tc>
        <w:tc>
          <w:tcPr>
            <w:tcW w:w="311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r>
          </w:p>
        </w:tc>
      </w:tr>
    </w:tbl>
    <w:p>
      <w:pPr>
        <w:pStyle w:val="Normal"/>
        <w:jc w:val="both"/>
        <w:rPr>
          <w:rFonts w:ascii="Arial" w:hAnsi="Arial" w:cs="Arial"/>
          <w:szCs w:val="24"/>
        </w:rPr>
      </w:pPr>
      <w:r>
        <w:rPr>
          <w:rFonts w:cs="Arial" w:ascii="Arial" w:hAnsi="Arial"/>
          <w:szCs w:val="24"/>
        </w:rPr>
      </w:r>
    </w:p>
    <w:tbl>
      <w:tblPr>
        <w:tblW w:w="1009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47"/>
        <w:gridCol w:w="3600"/>
        <w:gridCol w:w="4051"/>
      </w:tblGrid>
      <w:tr>
        <w:trPr>
          <w:trHeight w:val="107" w:hRule="atLeast"/>
        </w:trPr>
        <w:tc>
          <w:tcPr>
            <w:tcW w:w="10098"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1. SUTARTIES ŠALYS</w:t>
            </w:r>
          </w:p>
        </w:tc>
      </w:tr>
      <w:tr>
        <w:trPr/>
        <w:tc>
          <w:tcPr>
            <w:tcW w:w="244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r>
          </w:p>
          <w:p>
            <w:pPr>
              <w:pStyle w:val="Normal"/>
              <w:jc w:val="center"/>
              <w:rPr>
                <w:rFonts w:ascii="Arial" w:hAnsi="Arial" w:cs="Arial"/>
                <w:b/>
                <w:kern w:val="2"/>
                <w:szCs w:val="24"/>
              </w:rPr>
            </w:pPr>
            <w:r>
              <w:rPr>
                <w:rFonts w:cs="Arial" w:ascii="Arial" w:hAnsi="Arial"/>
                <w:b/>
                <w:kern w:val="2"/>
                <w:szCs w:val="24"/>
              </w:rPr>
            </w:r>
          </w:p>
          <w:p>
            <w:pPr>
              <w:pStyle w:val="Normal"/>
              <w:jc w:val="center"/>
              <w:rPr>
                <w:rFonts w:ascii="Arial" w:hAnsi="Arial" w:cs="Arial"/>
                <w:b/>
                <w:kern w:val="2"/>
                <w:szCs w:val="24"/>
              </w:rPr>
            </w:pPr>
            <w:r>
              <w:rPr>
                <w:rFonts w:cs="Arial" w:ascii="Arial" w:hAnsi="Arial"/>
                <w:b/>
                <w:kern w:val="2"/>
                <w:szCs w:val="24"/>
              </w:rPr>
            </w:r>
          </w:p>
          <w:p>
            <w:pPr>
              <w:pStyle w:val="Normal"/>
              <w:rPr>
                <w:rFonts w:ascii="Arial" w:hAnsi="Arial" w:cs="Arial"/>
                <w:b/>
                <w:kern w:val="2"/>
                <w:szCs w:val="24"/>
              </w:rPr>
            </w:pPr>
            <w:r>
              <w:rPr>
                <w:rFonts w:cs="Arial" w:ascii="Arial" w:hAnsi="Arial"/>
                <w:b/>
                <w:kern w:val="2"/>
                <w:szCs w:val="24"/>
              </w:rPr>
            </w:r>
          </w:p>
          <w:p>
            <w:pPr>
              <w:pStyle w:val="Normal"/>
              <w:rPr>
                <w:rFonts w:ascii="Arial" w:hAnsi="Arial" w:cs="Arial"/>
                <w:b/>
                <w:kern w:val="2"/>
                <w:szCs w:val="24"/>
              </w:rPr>
            </w:pPr>
            <w:r>
              <w:rPr>
                <w:rFonts w:cs="Arial" w:ascii="Arial" w:hAnsi="Arial"/>
                <w:b/>
                <w:kern w:val="2"/>
                <w:szCs w:val="24"/>
              </w:rPr>
              <w:t>1.1. Pirkėjas</w:t>
            </w:r>
          </w:p>
        </w:tc>
        <w:tc>
          <w:tcPr>
            <w:tcW w:w="360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1.1.1. Pavadinimas</w:t>
            </w:r>
          </w:p>
        </w:tc>
        <w:tc>
          <w:tcPr>
            <w:tcW w:w="405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Prienų rajono savivaldybės administracija</w:t>
            </w:r>
          </w:p>
        </w:tc>
      </w:tr>
      <w:tr>
        <w:trPr/>
        <w:tc>
          <w:tcPr>
            <w:tcW w:w="2447"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c>
          <w:tcPr>
            <w:tcW w:w="360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1.1.2. Juridinio asmens kodas</w:t>
            </w:r>
          </w:p>
        </w:tc>
        <w:tc>
          <w:tcPr>
            <w:tcW w:w="405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288742590</w:t>
            </w:r>
          </w:p>
        </w:tc>
      </w:tr>
      <w:tr>
        <w:trPr/>
        <w:tc>
          <w:tcPr>
            <w:tcW w:w="2447"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c>
          <w:tcPr>
            <w:tcW w:w="360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1.1.3. Adresas</w:t>
            </w:r>
          </w:p>
        </w:tc>
        <w:tc>
          <w:tcPr>
            <w:tcW w:w="405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Laisvės a. 12, LT 59126 Prienai</w:t>
            </w:r>
          </w:p>
        </w:tc>
      </w:tr>
      <w:tr>
        <w:trPr/>
        <w:tc>
          <w:tcPr>
            <w:tcW w:w="2447"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c>
          <w:tcPr>
            <w:tcW w:w="360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1.1.4. PVM mokėtojo kodas</w:t>
            </w:r>
          </w:p>
        </w:tc>
        <w:tc>
          <w:tcPr>
            <w:tcW w:w="405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Ne PVM mokėtojas</w:t>
            </w:r>
          </w:p>
        </w:tc>
      </w:tr>
      <w:tr>
        <w:trPr/>
        <w:tc>
          <w:tcPr>
            <w:tcW w:w="2447"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c>
          <w:tcPr>
            <w:tcW w:w="360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1.1.5. Atsiskaitomoji sąskaita</w:t>
            </w:r>
          </w:p>
        </w:tc>
        <w:tc>
          <w:tcPr>
            <w:tcW w:w="405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rPr>
            </w:pPr>
            <w:r>
              <w:rPr>
                <w:rFonts w:cs="Arial" w:ascii="Arial" w:hAnsi="Arial"/>
                <w:kern w:val="2"/>
                <w:szCs w:val="24"/>
              </w:rPr>
              <w:t>LT087300010076935559</w:t>
            </w:r>
          </w:p>
        </w:tc>
      </w:tr>
      <w:tr>
        <w:trPr/>
        <w:tc>
          <w:tcPr>
            <w:tcW w:w="2447"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c>
          <w:tcPr>
            <w:tcW w:w="360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1.1.6. Bankas, banko kodas</w:t>
            </w:r>
          </w:p>
        </w:tc>
        <w:tc>
          <w:tcPr>
            <w:tcW w:w="405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rPr>
            </w:pPr>
            <w:r>
              <w:rPr>
                <w:rFonts w:cs="Arial" w:ascii="Arial" w:hAnsi="Arial"/>
                <w:kern w:val="2"/>
                <w:szCs w:val="24"/>
              </w:rPr>
              <w:t>AB bankas „Swedbank“, 73000</w:t>
            </w:r>
          </w:p>
        </w:tc>
      </w:tr>
      <w:tr>
        <w:trPr/>
        <w:tc>
          <w:tcPr>
            <w:tcW w:w="2447"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c>
          <w:tcPr>
            <w:tcW w:w="360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1.1.7. Telefonas</w:t>
            </w:r>
          </w:p>
        </w:tc>
        <w:tc>
          <w:tcPr>
            <w:tcW w:w="405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+370 319 61149</w:t>
            </w:r>
          </w:p>
        </w:tc>
      </w:tr>
      <w:tr>
        <w:trPr/>
        <w:tc>
          <w:tcPr>
            <w:tcW w:w="2447"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c>
          <w:tcPr>
            <w:tcW w:w="360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1.1.8. El. paštas</w:t>
            </w:r>
          </w:p>
        </w:tc>
        <w:tc>
          <w:tcPr>
            <w:tcW w:w="405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administracija@prienai.lt</w:t>
            </w:r>
          </w:p>
        </w:tc>
      </w:tr>
      <w:tr>
        <w:trPr/>
        <w:tc>
          <w:tcPr>
            <w:tcW w:w="2447"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c>
          <w:tcPr>
            <w:tcW w:w="360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1.1.9. Šalies atstovas</w:t>
            </w:r>
          </w:p>
        </w:tc>
        <w:tc>
          <w:tcPr>
            <w:tcW w:w="405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r>
          </w:p>
        </w:tc>
      </w:tr>
      <w:tr>
        <w:trPr/>
        <w:tc>
          <w:tcPr>
            <w:tcW w:w="2447"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c>
          <w:tcPr>
            <w:tcW w:w="360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1.1.10. Atstovavimo pagrindas</w:t>
            </w:r>
          </w:p>
        </w:tc>
        <w:tc>
          <w:tcPr>
            <w:tcW w:w="405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r>
          </w:p>
        </w:tc>
      </w:tr>
      <w:tr>
        <w:trPr/>
        <w:tc>
          <w:tcPr>
            <w:tcW w:w="2447" w:type="dxa"/>
            <w:vMerge w:val="restart"/>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r>
          </w:p>
          <w:p>
            <w:pPr>
              <w:pStyle w:val="Normal"/>
              <w:rPr>
                <w:rFonts w:ascii="Arial" w:hAnsi="Arial" w:cs="Arial"/>
                <w:b/>
                <w:kern w:val="2"/>
                <w:szCs w:val="24"/>
              </w:rPr>
            </w:pPr>
            <w:r>
              <w:rPr>
                <w:rFonts w:cs="Arial" w:ascii="Arial" w:hAnsi="Arial"/>
                <w:b/>
                <w:kern w:val="2"/>
                <w:szCs w:val="24"/>
              </w:rPr>
            </w:r>
          </w:p>
          <w:p>
            <w:pPr>
              <w:pStyle w:val="Normal"/>
              <w:rPr>
                <w:rFonts w:ascii="Arial" w:hAnsi="Arial" w:cs="Arial"/>
                <w:b/>
                <w:kern w:val="2"/>
                <w:szCs w:val="24"/>
              </w:rPr>
            </w:pPr>
            <w:r>
              <w:rPr>
                <w:rFonts w:cs="Arial" w:ascii="Arial" w:hAnsi="Arial"/>
                <w:b/>
                <w:kern w:val="2"/>
                <w:szCs w:val="24"/>
              </w:rPr>
            </w:r>
          </w:p>
          <w:p>
            <w:pPr>
              <w:pStyle w:val="Normal"/>
              <w:rPr>
                <w:rFonts w:ascii="Arial" w:hAnsi="Arial" w:cs="Arial"/>
                <w:b/>
                <w:kern w:val="2"/>
                <w:szCs w:val="24"/>
              </w:rPr>
            </w:pPr>
            <w:r>
              <w:rPr>
                <w:rFonts w:cs="Arial" w:ascii="Arial" w:hAnsi="Arial"/>
                <w:b/>
                <w:kern w:val="2"/>
                <w:szCs w:val="24"/>
              </w:rPr>
              <w:t>1.2. Tiekėjas</w:t>
            </w:r>
          </w:p>
          <w:p>
            <w:pPr>
              <w:pStyle w:val="Normal"/>
              <w:rPr>
                <w:rFonts w:ascii="Arial" w:hAnsi="Arial" w:cs="Arial"/>
                <w:color w:val="4472C4"/>
                <w:kern w:val="2"/>
                <w:szCs w:val="24"/>
              </w:rPr>
            </w:pPr>
            <w:r>
              <w:rPr>
                <w:rFonts w:cs="Arial" w:ascii="Arial" w:hAnsi="Arial"/>
                <w:color w:val="4472C4"/>
                <w:kern w:val="2"/>
                <w:szCs w:val="24"/>
              </w:rPr>
              <w:t>(jei Tiekėjas yra fizinis asmuo, skiltys atitinkamai pakoreguojamos.</w:t>
            </w:r>
          </w:p>
          <w:p>
            <w:pPr>
              <w:pStyle w:val="Normal"/>
              <w:rPr>
                <w:rFonts w:ascii="Arial" w:hAnsi="Arial" w:cs="Arial"/>
                <w:b/>
                <w:kern w:val="2"/>
                <w:szCs w:val="24"/>
              </w:rPr>
            </w:pPr>
            <w:r>
              <w:rPr>
                <w:rFonts w:cs="Arial" w:ascii="Arial" w:hAnsi="Arial"/>
                <w:color w:val="4472C4"/>
                <w:kern w:val="2"/>
                <w:szCs w:val="24"/>
              </w:rPr>
              <w:t>Jei Tiekėjas yra tiekėjų grupė, skiltys pildomos įterpiant kiekvieno grupės nario informaciją)</w:t>
            </w:r>
          </w:p>
        </w:tc>
        <w:tc>
          <w:tcPr>
            <w:tcW w:w="360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1.2.1. Pavadinimas</w:t>
            </w:r>
          </w:p>
        </w:tc>
        <w:tc>
          <w:tcPr>
            <w:tcW w:w="405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r>
          </w:p>
        </w:tc>
      </w:tr>
      <w:tr>
        <w:trPr/>
        <w:tc>
          <w:tcPr>
            <w:tcW w:w="2447"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r>
          </w:p>
        </w:tc>
        <w:tc>
          <w:tcPr>
            <w:tcW w:w="360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1.2.2. Juridinio asmens kodas</w:t>
            </w:r>
          </w:p>
        </w:tc>
        <w:tc>
          <w:tcPr>
            <w:tcW w:w="405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r>
          </w:p>
        </w:tc>
      </w:tr>
      <w:tr>
        <w:trPr/>
        <w:tc>
          <w:tcPr>
            <w:tcW w:w="2447"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r>
          </w:p>
        </w:tc>
        <w:tc>
          <w:tcPr>
            <w:tcW w:w="360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1.2.3. Adresas</w:t>
            </w:r>
          </w:p>
        </w:tc>
        <w:tc>
          <w:tcPr>
            <w:tcW w:w="405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r>
          </w:p>
        </w:tc>
      </w:tr>
      <w:tr>
        <w:trPr/>
        <w:tc>
          <w:tcPr>
            <w:tcW w:w="2447"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r>
          </w:p>
        </w:tc>
        <w:tc>
          <w:tcPr>
            <w:tcW w:w="360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1.2.4. PVM mokėtojo kodas</w:t>
            </w:r>
          </w:p>
        </w:tc>
        <w:tc>
          <w:tcPr>
            <w:tcW w:w="405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r>
          </w:p>
        </w:tc>
      </w:tr>
      <w:tr>
        <w:trPr/>
        <w:tc>
          <w:tcPr>
            <w:tcW w:w="2447"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r>
          </w:p>
        </w:tc>
        <w:tc>
          <w:tcPr>
            <w:tcW w:w="360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1.2.5. Atsiskaitomoji sąskaita</w:t>
            </w:r>
          </w:p>
        </w:tc>
        <w:tc>
          <w:tcPr>
            <w:tcW w:w="405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r>
          </w:p>
        </w:tc>
      </w:tr>
      <w:tr>
        <w:trPr/>
        <w:tc>
          <w:tcPr>
            <w:tcW w:w="2447"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r>
          </w:p>
        </w:tc>
        <w:tc>
          <w:tcPr>
            <w:tcW w:w="360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1.2.6. Bankas, banko kodas</w:t>
            </w:r>
          </w:p>
        </w:tc>
        <w:tc>
          <w:tcPr>
            <w:tcW w:w="405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r>
          </w:p>
        </w:tc>
      </w:tr>
      <w:tr>
        <w:trPr/>
        <w:tc>
          <w:tcPr>
            <w:tcW w:w="2447"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r>
          </w:p>
        </w:tc>
        <w:tc>
          <w:tcPr>
            <w:tcW w:w="360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1.2.7. Telefonas</w:t>
            </w:r>
          </w:p>
        </w:tc>
        <w:tc>
          <w:tcPr>
            <w:tcW w:w="405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r>
          </w:p>
        </w:tc>
      </w:tr>
      <w:tr>
        <w:trPr/>
        <w:tc>
          <w:tcPr>
            <w:tcW w:w="2447"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r>
          </w:p>
        </w:tc>
        <w:tc>
          <w:tcPr>
            <w:tcW w:w="360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1.2.8. El. paštas</w:t>
            </w:r>
          </w:p>
        </w:tc>
        <w:tc>
          <w:tcPr>
            <w:tcW w:w="405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r>
          </w:p>
        </w:tc>
      </w:tr>
      <w:tr>
        <w:trPr/>
        <w:tc>
          <w:tcPr>
            <w:tcW w:w="2447"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r>
          </w:p>
        </w:tc>
        <w:tc>
          <w:tcPr>
            <w:tcW w:w="360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1.2.9. Šalies atstovas</w:t>
            </w:r>
          </w:p>
        </w:tc>
        <w:tc>
          <w:tcPr>
            <w:tcW w:w="405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r>
          </w:p>
        </w:tc>
      </w:tr>
      <w:tr>
        <w:trPr/>
        <w:tc>
          <w:tcPr>
            <w:tcW w:w="2447"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r>
          </w:p>
        </w:tc>
        <w:tc>
          <w:tcPr>
            <w:tcW w:w="360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1.2.10. Atstovavimo pagrindas</w:t>
            </w:r>
          </w:p>
        </w:tc>
        <w:tc>
          <w:tcPr>
            <w:tcW w:w="405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r>
          </w:p>
        </w:tc>
      </w:tr>
    </w:tbl>
    <w:p>
      <w:pPr>
        <w:pStyle w:val="Normal"/>
        <w:jc w:val="both"/>
        <w:rPr>
          <w:rFonts w:ascii="Arial" w:hAnsi="Arial" w:cs="Arial"/>
          <w:szCs w:val="24"/>
        </w:rPr>
      </w:pPr>
      <w:r>
        <w:rPr>
          <w:rFonts w:cs="Arial" w:ascii="Arial" w:hAnsi="Arial"/>
          <w:szCs w:val="24"/>
        </w:rPr>
      </w:r>
    </w:p>
    <w:tbl>
      <w:tblPr>
        <w:tblW w:w="1009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077"/>
        <w:gridCol w:w="17"/>
        <w:gridCol w:w="2129"/>
        <w:gridCol w:w="4874"/>
      </w:tblGrid>
      <w:tr>
        <w:trPr>
          <w:trHeight w:val="300" w:hRule="atLeast"/>
        </w:trPr>
        <w:tc>
          <w:tcPr>
            <w:tcW w:w="10097"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2. ATSAKINGI ASMENYS</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 xml:space="preserve">2.1. Pirkėjo kontaktiniai asmenys, atsakingi už Sutarties vykdymą, </w:t>
            </w:r>
            <w:r>
              <w:rPr>
                <w:rFonts w:cs="Arial" w:ascii="Arial" w:hAnsi="Arial"/>
                <w:b/>
                <w:szCs w:val="24"/>
              </w:rPr>
              <w:t>Paslaugų</w:t>
            </w:r>
            <w:r>
              <w:rPr>
                <w:rFonts w:cs="Arial" w:ascii="Arial" w:hAnsi="Arial"/>
                <w:b/>
                <w:kern w:val="2"/>
                <w:szCs w:val="24"/>
              </w:rPr>
              <w:t xml:space="preserve"> priėmimą, Sąskaitų per informacinę sistemą SABIS priėmimą</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rStyle w:val="Hyperlink"/>
                <w:rFonts w:ascii="Arial" w:hAnsi="Arial" w:cs="Arial"/>
                <w:color w:val="000000"/>
                <w:kern w:val="2"/>
                <w:szCs w:val="24"/>
              </w:rPr>
            </w:pPr>
            <w:r>
              <w:rPr>
                <w:rFonts w:cs="Arial" w:ascii="Arial" w:hAnsi="Arial"/>
                <w:color w:val="000000"/>
                <w:kern w:val="2"/>
                <w:szCs w:val="24"/>
              </w:rPr>
              <w:t xml:space="preserve">Architektūros ir urbanistikos skyriaus vyriausioji specialistė Rima Sodaitienė, tel. +370 319 61146, </w:t>
              <w:br/>
              <w:t xml:space="preserve">el. p. </w:t>
            </w:r>
            <w:hyperlink r:id="rId2">
              <w:r>
                <w:rPr>
                  <w:rStyle w:val="Hyperlink"/>
                  <w:rFonts w:cs="Arial" w:ascii="Arial" w:hAnsi="Arial"/>
                  <w:kern w:val="2"/>
                  <w:szCs w:val="24"/>
                </w:rPr>
                <w:t>rima.sodaitiene@prienai.lt</w:t>
              </w:r>
            </w:hyperlink>
          </w:p>
          <w:p>
            <w:pPr>
              <w:pStyle w:val="Normal"/>
              <w:jc w:val="both"/>
              <w:rPr>
                <w:rFonts w:ascii="Arial" w:hAnsi="Arial" w:cs="Arial"/>
                <w:color w:val="000000"/>
                <w:kern w:val="2"/>
                <w:szCs w:val="24"/>
              </w:rPr>
            </w:pPr>
            <w:r>
              <w:rPr>
                <w:rFonts w:cs="Arial" w:ascii="Arial" w:hAnsi="Arial"/>
                <w:color w:val="000000"/>
                <w:kern w:val="2"/>
                <w:szCs w:val="24"/>
              </w:rPr>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2.2. Tiekėjo kontaktiniai asmenys, atsakingi už Sutarties vykdymą</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4472C4"/>
                <w:kern w:val="2"/>
                <w:szCs w:val="24"/>
              </w:rPr>
            </w:pPr>
            <w:r>
              <w:rPr>
                <w:rFonts w:cs="Arial" w:ascii="Arial" w:hAnsi="Arial"/>
                <w:color w:val="4472C4"/>
                <w:kern w:val="2"/>
                <w:szCs w:val="24"/>
              </w:rPr>
              <w:t>(nurodyti padalinį / skyrių, pareigas, vardą, pavardę, tel., el. paštą)</w:t>
            </w:r>
          </w:p>
        </w:tc>
      </w:tr>
      <w:tr>
        <w:trPr>
          <w:trHeight w:val="300" w:hRule="atLeast"/>
        </w:trPr>
        <w:tc>
          <w:tcPr>
            <w:tcW w:w="10097"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3. SUTARTIES DALYKAS</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3.1. Sutarties dalykas</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b/>
                <w:kern w:val="2"/>
                <w:szCs w:val="24"/>
              </w:rPr>
            </w:pPr>
            <w:r>
              <w:rPr>
                <w:rFonts w:cs="Arial" w:ascii="Arial" w:hAnsi="Arial"/>
                <w:kern w:val="2"/>
                <w:szCs w:val="24"/>
              </w:rPr>
              <w:t xml:space="preserve">Tiekėjas įsipareigoja Sutartyje numatytomis sąlygomis suteikti Pirkėjui </w:t>
            </w:r>
            <w:r>
              <w:rPr>
                <w:rFonts w:eastAsia="Calibri" w:cs="Arial" w:ascii="Arial" w:hAnsi="Arial"/>
                <w:b/>
                <w:color w:themeColor="text1" w:val="000000"/>
                <w:szCs w:val="24"/>
              </w:rPr>
              <w:t>Prienų rajono savivaldybės gyvenamųjų vietovių panaikinimo, nustatymo ir pavadinimų suteikimo, teritorijų ribų nustatymo plano parengimo paslaugas</w:t>
            </w:r>
            <w:r>
              <w:rPr>
                <w:rFonts w:eastAsia="Calibri" w:cs="Arial" w:ascii="Arial" w:hAnsi="Arial"/>
                <w:color w:themeColor="text1" w:val="000000"/>
                <w:szCs w:val="24"/>
              </w:rPr>
              <w:t xml:space="preserve"> </w:t>
            </w:r>
            <w:r>
              <w:rPr>
                <w:rFonts w:cs="Arial" w:ascii="Arial" w:hAnsi="Arial"/>
                <w:kern w:val="2"/>
                <w:szCs w:val="24"/>
              </w:rPr>
              <w:t>(toliau – Paslaugos).</w:t>
            </w:r>
          </w:p>
          <w:p>
            <w:pPr>
              <w:pStyle w:val="Normal"/>
              <w:jc w:val="both"/>
              <w:rPr>
                <w:rFonts w:ascii="Arial" w:hAnsi="Arial" w:cs="Arial"/>
                <w:color w:val="000000"/>
                <w:kern w:val="2"/>
                <w:szCs w:val="24"/>
              </w:rPr>
            </w:pPr>
            <w:r>
              <w:rPr>
                <w:rFonts w:cs="Arial" w:ascii="Arial" w:hAnsi="Arial"/>
                <w:color w:val="000000"/>
                <w:kern w:val="2"/>
                <w:szCs w:val="24"/>
              </w:rPr>
              <w:t xml:space="preserve">Išsamus </w:t>
            </w:r>
            <w:r>
              <w:rPr>
                <w:rFonts w:cs="Arial" w:ascii="Arial" w:hAnsi="Arial"/>
                <w:color w:val="000000"/>
                <w:szCs w:val="24"/>
              </w:rPr>
              <w:t>Paslaugų</w:t>
            </w:r>
            <w:r>
              <w:rPr>
                <w:rFonts w:cs="Arial" w:ascii="Arial" w:hAnsi="Arial"/>
                <w:color w:val="000000"/>
                <w:kern w:val="2"/>
                <w:szCs w:val="24"/>
              </w:rPr>
              <w:t xml:space="preserve"> aprašymas ir kiti reikalavimai teikiamoms </w:t>
            </w:r>
            <w:r>
              <w:rPr>
                <w:rFonts w:cs="Arial" w:ascii="Arial" w:hAnsi="Arial"/>
                <w:color w:val="000000"/>
                <w:szCs w:val="24"/>
              </w:rPr>
              <w:t>Paslaugoms</w:t>
            </w:r>
            <w:r>
              <w:rPr>
                <w:rFonts w:cs="Arial" w:ascii="Arial" w:hAnsi="Arial"/>
                <w:color w:val="000000"/>
                <w:kern w:val="2"/>
                <w:szCs w:val="24"/>
              </w:rPr>
              <w:t xml:space="preserve"> nustatyti Sutarties priede Nr. 1 „Techninė specifikacija“ (toliau – Techninė specifikacija).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3.2. Pirkimo pavadinimas ir numeris</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w:t>
            </w:r>
            <w:r>
              <w:rPr>
                <w:rFonts w:cs="Arial" w:ascii="Arial" w:hAnsi="Arial"/>
                <w:bCs/>
                <w:szCs w:val="24"/>
              </w:rPr>
              <w:t>PRIENŲ RAJONO SAVIVALDYBĖS GYVENAMŲJŲ VIETOVIŲ PANAIKINIMO, NUSTATYMO IR PAVADINIMŲ SUTEIKIMO, TERITORIJŲ RIBŲ NUSTATYMO PLANO PARENGIMAS</w:t>
            </w:r>
            <w:r>
              <w:rPr>
                <w:rFonts w:cs="Arial" w:ascii="Arial" w:hAnsi="Arial"/>
                <w:kern w:val="2"/>
                <w:szCs w:val="24"/>
              </w:rPr>
              <w:t>“, Nr.</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3.3. Informacija apie Europos Sąjungos lėšomis finansuojamą projektą arba kitą projektą</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Netaikoma</w:t>
            </w:r>
          </w:p>
          <w:p>
            <w:pPr>
              <w:pStyle w:val="Normal"/>
              <w:rPr>
                <w:rFonts w:ascii="Arial" w:hAnsi="Arial" w:cs="Arial"/>
                <w:kern w:val="2"/>
                <w:szCs w:val="24"/>
              </w:rPr>
            </w:pPr>
            <w:r>
              <w:rPr>
                <w:rFonts w:cs="Arial" w:ascii="Arial" w:hAnsi="Arial"/>
                <w:kern w:val="2"/>
                <w:szCs w:val="24"/>
              </w:rPr>
            </w:r>
          </w:p>
          <w:p>
            <w:pPr>
              <w:pStyle w:val="Normal"/>
              <w:rPr>
                <w:rFonts w:ascii="Arial" w:hAnsi="Arial" w:cs="Arial"/>
                <w:kern w:val="2"/>
                <w:szCs w:val="24"/>
              </w:rPr>
            </w:pPr>
            <w:r>
              <w:rPr>
                <w:rFonts w:cs="Arial" w:ascii="Arial" w:hAnsi="Arial"/>
                <w:kern w:val="2"/>
                <w:szCs w:val="24"/>
              </w:rPr>
            </w:r>
          </w:p>
        </w:tc>
      </w:tr>
      <w:tr>
        <w:trPr>
          <w:trHeight w:val="300" w:hRule="atLeast"/>
        </w:trPr>
        <w:tc>
          <w:tcPr>
            <w:tcW w:w="10097"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 xml:space="preserve">4. PASLAUGŲ SUTEIKIMO TERMINAI IR PASLAUGŲ PERDAVIMO </w:t>
            </w:r>
            <w:r>
              <w:rPr>
                <w:rFonts w:cs="Arial" w:ascii="Arial" w:hAnsi="Arial"/>
                <w:color w:val="000000"/>
                <w:kern w:val="2"/>
                <w:szCs w:val="24"/>
              </w:rPr>
              <w:t>–</w:t>
            </w:r>
            <w:r>
              <w:rPr>
                <w:rFonts w:cs="Arial" w:ascii="Arial" w:hAnsi="Arial"/>
                <w:b/>
                <w:kern w:val="2"/>
                <w:szCs w:val="24"/>
              </w:rPr>
              <w:t xml:space="preserve"> PRIĖMIMO TVARKA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szCs w:val="24"/>
              </w:rPr>
            </w:pPr>
            <w:r>
              <w:rPr>
                <w:rFonts w:cs="Arial" w:ascii="Arial" w:hAnsi="Arial"/>
                <w:b/>
                <w:kern w:val="2"/>
                <w:szCs w:val="24"/>
              </w:rPr>
              <w:t>4.1. Paslaugų suteikimo terminai, kai Paslaugos teikiamos etapais</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color w:val="000000"/>
                <w:kern w:val="2"/>
                <w:szCs w:val="24"/>
              </w:rPr>
            </w:pPr>
            <w:r>
              <w:rPr>
                <w:rFonts w:cs="Arial" w:ascii="Arial" w:hAnsi="Arial"/>
                <w:color w:val="000000"/>
                <w:kern w:val="2"/>
                <w:szCs w:val="24"/>
              </w:rPr>
              <w:t xml:space="preserve">Tiekėjas įsipareigoja </w:t>
            </w:r>
            <w:bookmarkStart w:id="0" w:name="_GoBack"/>
            <w:r>
              <w:rPr>
                <w:rFonts w:cs="Arial" w:ascii="Arial" w:hAnsi="Arial"/>
                <w:color w:val="000000"/>
                <w:kern w:val="2"/>
                <w:szCs w:val="24"/>
              </w:rPr>
              <w:t xml:space="preserve">Paslaugas </w:t>
            </w:r>
            <w:bookmarkEnd w:id="0"/>
            <w:r>
              <w:rPr>
                <w:rFonts w:cs="Arial" w:ascii="Arial" w:hAnsi="Arial"/>
                <w:color w:val="000000"/>
                <w:kern w:val="2"/>
                <w:szCs w:val="24"/>
              </w:rPr>
              <w:t xml:space="preserve">suteikti </w:t>
            </w:r>
            <w:r>
              <w:rPr>
                <w:rFonts w:cs="Arial" w:ascii="Arial" w:hAnsi="Arial"/>
                <w:b/>
                <w:color w:val="000000"/>
                <w:kern w:val="2"/>
                <w:szCs w:val="24"/>
              </w:rPr>
              <w:t>ne vėliau kaip per 18 (aštuoniolika) mėn.</w:t>
            </w:r>
            <w:r>
              <w:rPr>
                <w:rFonts w:cs="Arial" w:ascii="Arial" w:hAnsi="Arial"/>
                <w:color w:val="000000"/>
                <w:kern w:val="2"/>
                <w:szCs w:val="24"/>
              </w:rPr>
              <w:t xml:space="preserve"> nuo Sutarties įsigaliojimo dienos ir </w:t>
            </w:r>
            <w:r>
              <w:rPr>
                <w:rFonts w:cs="Arial" w:ascii="Arial" w:hAnsi="Arial"/>
                <w:color w:val="000000"/>
                <w:kern w:val="2"/>
                <w:szCs w:val="24"/>
                <w:shd w:fill="auto" w:val="clear"/>
              </w:rPr>
              <w:t>Paslaugų atlikimo grafike nurodytais terminais.</w:t>
            </w:r>
          </w:p>
          <w:p>
            <w:pPr>
              <w:pStyle w:val="Normal"/>
              <w:jc w:val="both"/>
              <w:rPr>
                <w:rFonts w:ascii="Arial" w:hAnsi="Arial" w:cs="Arial"/>
                <w:color w:val="000000"/>
                <w:kern w:val="2"/>
                <w:szCs w:val="24"/>
              </w:rPr>
            </w:pPr>
            <w:r>
              <w:rPr>
                <w:rFonts w:cs="Arial" w:ascii="Arial" w:hAnsi="Arial"/>
                <w:color w:val="000000"/>
                <w:kern w:val="2"/>
                <w:szCs w:val="24"/>
              </w:rPr>
            </w:r>
          </w:p>
          <w:p>
            <w:pPr>
              <w:pStyle w:val="Normal"/>
              <w:jc w:val="both"/>
              <w:rPr>
                <w:rFonts w:ascii="Arial" w:hAnsi="Arial" w:cs="Arial"/>
              </w:rPr>
            </w:pPr>
            <w:r>
              <w:rPr>
                <w:rFonts w:cs="Arial" w:ascii="Arial" w:hAnsi="Arial"/>
              </w:rPr>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4.2. Paslaugų / jų dalies / etapo / periodo suteikimo termino pratęsimas</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Netaikoma</w:t>
            </w:r>
          </w:p>
          <w:p>
            <w:pPr>
              <w:pStyle w:val="Normal"/>
              <w:jc w:val="both"/>
              <w:rPr>
                <w:rFonts w:ascii="Arial" w:hAnsi="Arial" w:cs="Arial"/>
                <w:kern w:val="2"/>
                <w:szCs w:val="24"/>
              </w:rPr>
            </w:pPr>
            <w:r>
              <w:rPr/>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4.3. Užsakymų teikimo tvarka</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Cs w:val="24"/>
              </w:rPr>
            </w:pPr>
            <w:r>
              <w:rPr>
                <w:rFonts w:cs="Arial" w:ascii="Arial" w:hAnsi="Arial"/>
                <w:szCs w:val="24"/>
              </w:rPr>
              <w:t>Netaikoma</w:t>
            </w:r>
          </w:p>
          <w:p>
            <w:pPr>
              <w:pStyle w:val="Normal"/>
              <w:jc w:val="both"/>
              <w:rPr>
                <w:rFonts w:ascii="Arial" w:hAnsi="Arial" w:cs="Arial"/>
                <w:color w:val="FF0000"/>
                <w:szCs w:val="24"/>
              </w:rPr>
            </w:pPr>
            <w:r>
              <w:rPr>
                <w:rFonts w:cs="Arial" w:ascii="Arial" w:hAnsi="Arial"/>
                <w:color w:val="FF0000"/>
                <w:szCs w:val="24"/>
              </w:rPr>
            </w:r>
          </w:p>
        </w:tc>
      </w:tr>
      <w:tr>
        <w:trPr>
          <w:trHeight w:val="62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4.4. Dėl minimalios Užsakymo vertės ar apimties</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Netaikoma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4.5. Pateikiami dokumentai</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highlight w:val="none"/>
                <w:shd w:fill="auto" w:val="clear"/>
              </w:rPr>
            </w:pPr>
            <w:r>
              <w:rPr>
                <w:rFonts w:cs="Arial" w:ascii="Arial" w:hAnsi="Arial"/>
                <w:kern w:val="2"/>
                <w:szCs w:val="24"/>
                <w:shd w:fill="auto" w:val="clear"/>
              </w:rPr>
              <w:t>Turi būti pateikiami šie dokumentai:</w:t>
            </w:r>
          </w:p>
          <w:p>
            <w:pPr>
              <w:pStyle w:val="Normal"/>
              <w:jc w:val="both"/>
              <w:rPr>
                <w:highlight w:val="none"/>
                <w:shd w:fill="auto" w:val="clear"/>
              </w:rPr>
            </w:pPr>
            <w:r>
              <w:rPr>
                <w:rFonts w:cs="Arial" w:ascii="Arial" w:hAnsi="Arial"/>
                <w:color w:val="000000"/>
                <w:kern w:val="2"/>
                <w:szCs w:val="24"/>
                <w:shd w:fill="auto" w:val="clear"/>
              </w:rPr>
              <w:t>1. P</w:t>
            </w:r>
            <w:r>
              <w:rPr>
                <w:rFonts w:cs="Arial" w:ascii="Arial" w:hAnsi="Arial"/>
                <w:color w:val="000000"/>
                <w:szCs w:val="24"/>
                <w:shd w:fill="auto" w:val="clear"/>
              </w:rPr>
              <w:t xml:space="preserve">arengtas ir suderintas su atsakingomis institucijomis </w:t>
            </w:r>
            <w:r>
              <w:rPr>
                <w:rFonts w:cs="Arial" w:ascii="Arial" w:hAnsi="Arial"/>
                <w:color w:val="000000"/>
                <w:kern w:val="2"/>
                <w:szCs w:val="24"/>
                <w:shd w:fill="auto" w:val="clear"/>
              </w:rPr>
              <w:t>(VĮ Registrų centru, LR Aplinkos ministerija, LR Susisiekimo ministerija, Nacionaline žemės tarnyba prie Aplinkos ministerijos, planui pritaria Prienų rajono savivaldybės taryba) planas;</w:t>
            </w:r>
          </w:p>
          <w:p>
            <w:pPr>
              <w:pStyle w:val="Normal"/>
              <w:jc w:val="both"/>
              <w:rPr>
                <w:highlight w:val="none"/>
                <w:shd w:fill="auto" w:val="clear"/>
              </w:rPr>
            </w:pPr>
            <w:r>
              <w:rPr>
                <w:rFonts w:cs="Arial" w:ascii="Arial" w:hAnsi="Arial"/>
                <w:color w:val="000000"/>
                <w:kern w:val="2"/>
                <w:szCs w:val="24"/>
                <w:shd w:fill="auto" w:val="clear"/>
              </w:rPr>
              <w:t>2. Paslaugų perdavimo-priėmimo aktas, sąskaita,</w:t>
            </w:r>
          </w:p>
          <w:p>
            <w:pPr>
              <w:pStyle w:val="Normal"/>
              <w:jc w:val="both"/>
              <w:rPr>
                <w:rFonts w:ascii="Arial" w:hAnsi="Arial" w:cs="Arial"/>
                <w:kern w:val="2"/>
                <w:szCs w:val="24"/>
              </w:rPr>
            </w:pPr>
            <w:r>
              <w:rPr>
                <w:rFonts w:cs="Arial" w:ascii="Arial" w:hAnsi="Arial"/>
                <w:kern w:val="2"/>
                <w:szCs w:val="24"/>
              </w:rPr>
            </w:r>
          </w:p>
          <w:p>
            <w:pPr>
              <w:pStyle w:val="Normal"/>
              <w:jc w:val="both"/>
              <w:rPr>
                <w:rFonts w:ascii="Arial" w:hAnsi="Arial" w:cs="Arial"/>
                <w:szCs w:val="24"/>
              </w:rPr>
            </w:pPr>
            <w:r>
              <w:rPr>
                <w:rFonts w:cs="Arial" w:ascii="Arial" w:hAnsi="Arial"/>
                <w:kern w:val="2"/>
                <w:szCs w:val="24"/>
              </w:rPr>
              <w:t>Tiekėjui nepateikus nurodytų dokumentų, laikoma, kad Paslaugos neatitinka Sutartyje nustatytų reikalavimų.</w:t>
            </w:r>
          </w:p>
        </w:tc>
      </w:tr>
      <w:tr>
        <w:trPr>
          <w:trHeight w:val="300" w:hRule="atLeast"/>
        </w:trPr>
        <w:tc>
          <w:tcPr>
            <w:tcW w:w="10097"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5. SUTARTIES KAINA IR ATSISKAITYMO TVARKA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5.1. Sutarčiai taikomas kainos apskaičiavimo būdas</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Fiksuotos kainos kainodara</w:t>
            </w:r>
          </w:p>
          <w:p>
            <w:pPr>
              <w:pStyle w:val="Normal"/>
              <w:jc w:val="both"/>
              <w:rPr>
                <w:rFonts w:ascii="Arial" w:hAnsi="Arial" w:cs="Arial"/>
                <w:kern w:val="2"/>
                <w:szCs w:val="24"/>
              </w:rPr>
            </w:pPr>
            <w:r>
              <w:rPr>
                <w:rFonts w:cs="Arial" w:ascii="Arial" w:hAnsi="Arial"/>
                <w:kern w:val="2"/>
                <w:szCs w:val="24"/>
              </w:rPr>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 xml:space="preserve">5.2. Pradinės Sutarties vertė ir Sutarties kaina, kai taikoma </w:t>
            </w:r>
            <w:r>
              <w:rPr>
                <w:rFonts w:cs="Arial" w:ascii="Arial" w:hAnsi="Arial"/>
                <w:b/>
                <w:kern w:val="2"/>
                <w:szCs w:val="24"/>
                <w:u w:val="single"/>
              </w:rPr>
              <w:t>fiksuotos kainos</w:t>
            </w:r>
            <w:r>
              <w:rPr>
                <w:rFonts w:cs="Arial" w:ascii="Arial" w:hAnsi="Arial"/>
                <w:b/>
                <w:kern w:val="2"/>
                <w:szCs w:val="24"/>
              </w:rPr>
              <w:t xml:space="preserve"> kainodara</w:t>
            </w:r>
          </w:p>
          <w:p>
            <w:pPr>
              <w:pStyle w:val="Normal"/>
              <w:rPr>
                <w:rFonts w:ascii="Arial" w:hAnsi="Arial" w:cs="Arial"/>
                <w:b/>
                <w:kern w:val="2"/>
                <w:szCs w:val="24"/>
              </w:rPr>
            </w:pPr>
            <w:r>
              <w:rPr>
                <w:rFonts w:cs="Arial" w:ascii="Arial" w:hAnsi="Arial"/>
                <w:b/>
                <w:kern w:val="2"/>
                <w:szCs w:val="24"/>
              </w:rPr>
            </w:r>
          </w:p>
          <w:p>
            <w:pPr>
              <w:pStyle w:val="Normal"/>
              <w:rPr>
                <w:rFonts w:ascii="Arial" w:hAnsi="Arial" w:cs="Arial"/>
                <w:b/>
                <w:kern w:val="2"/>
                <w:szCs w:val="24"/>
              </w:rPr>
            </w:pPr>
            <w:r>
              <w:rPr>
                <w:rFonts w:cs="Arial" w:ascii="Arial" w:hAnsi="Arial"/>
                <w:b/>
                <w:kern w:val="2"/>
                <w:szCs w:val="24"/>
              </w:rPr>
            </w:r>
          </w:p>
          <w:p>
            <w:pPr>
              <w:pStyle w:val="Normal"/>
              <w:rPr>
                <w:rFonts w:ascii="Arial" w:hAnsi="Arial" w:cs="Arial"/>
                <w:b/>
                <w:kern w:val="2"/>
                <w:szCs w:val="24"/>
              </w:rPr>
            </w:pPr>
            <w:r>
              <w:rPr>
                <w:rFonts w:cs="Arial" w:ascii="Arial" w:hAnsi="Arial"/>
                <w:b/>
                <w:kern w:val="2"/>
                <w:szCs w:val="24"/>
              </w:rPr>
            </w:r>
          </w:p>
          <w:p>
            <w:pPr>
              <w:pStyle w:val="Normal"/>
              <w:jc w:val="both"/>
              <w:rPr>
                <w:rFonts w:ascii="Arial" w:hAnsi="Arial" w:cs="Arial"/>
                <w:b/>
                <w:color w:val="FF0000"/>
                <w:kern w:val="2"/>
                <w:szCs w:val="24"/>
              </w:rPr>
            </w:pPr>
            <w:r>
              <w:rPr>
                <w:rFonts w:cs="Arial" w:ascii="Arial" w:hAnsi="Arial"/>
                <w:b/>
                <w:color w:val="FF0000"/>
                <w:kern w:val="2"/>
                <w:szCs w:val="24"/>
              </w:rPr>
            </w:r>
          </w:p>
          <w:p>
            <w:pPr>
              <w:pStyle w:val="Normal"/>
              <w:rPr>
                <w:rFonts w:ascii="Arial" w:hAnsi="Arial" w:cs="Arial"/>
                <w:b/>
                <w:kern w:val="2"/>
                <w:szCs w:val="24"/>
              </w:rPr>
            </w:pPr>
            <w:r>
              <w:rPr>
                <w:rFonts w:cs="Arial" w:ascii="Arial" w:hAnsi="Arial"/>
                <w:b/>
                <w:kern w:val="2"/>
                <w:szCs w:val="24"/>
              </w:rPr>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Cs w:val="24"/>
              </w:rPr>
            </w:pPr>
            <w:r>
              <w:rPr>
                <w:rFonts w:cs="Arial" w:ascii="Arial" w:hAnsi="Arial"/>
                <w:kern w:val="2"/>
                <w:szCs w:val="24"/>
              </w:rPr>
              <w:t xml:space="preserve">Pradinės Sutarties vertė yra </w:t>
            </w:r>
            <w:r>
              <w:rPr>
                <w:rFonts w:cs="Arial" w:ascii="Arial" w:hAnsi="Arial"/>
                <w:color w:val="4472C4"/>
                <w:kern w:val="2"/>
                <w:szCs w:val="24"/>
              </w:rPr>
              <w:t>(nurodyti sumą skaičiais)</w:t>
            </w:r>
            <w:r>
              <w:rPr>
                <w:rFonts w:cs="Arial" w:ascii="Arial" w:hAnsi="Arial"/>
                <w:kern w:val="2"/>
                <w:szCs w:val="24"/>
              </w:rPr>
              <w:t xml:space="preserve"> Eur </w:t>
            </w:r>
            <w:r>
              <w:rPr>
                <w:rFonts w:cs="Arial" w:ascii="Arial" w:hAnsi="Arial"/>
                <w:color w:val="4472C4"/>
                <w:kern w:val="2"/>
                <w:szCs w:val="24"/>
              </w:rPr>
              <w:t>(nurodyti sumą žodžiais)</w:t>
            </w:r>
            <w:r>
              <w:rPr>
                <w:rFonts w:cs="Arial" w:ascii="Arial" w:hAnsi="Arial"/>
                <w:kern w:val="2"/>
                <w:szCs w:val="24"/>
              </w:rPr>
              <w:t xml:space="preserve"> be PVM.</w:t>
            </w:r>
          </w:p>
          <w:p>
            <w:pPr>
              <w:pStyle w:val="Normal"/>
              <w:jc w:val="both"/>
              <w:rPr>
                <w:rFonts w:ascii="Arial" w:hAnsi="Arial" w:cs="Arial"/>
                <w:szCs w:val="24"/>
              </w:rPr>
            </w:pPr>
            <w:r>
              <w:rPr>
                <w:rFonts w:cs="Arial" w:ascii="Arial" w:hAnsi="Arial"/>
                <w:kern w:val="2"/>
                <w:szCs w:val="24"/>
              </w:rPr>
              <w:t xml:space="preserve">PVM sudaro </w:t>
            </w:r>
            <w:r>
              <w:rPr>
                <w:rFonts w:cs="Arial" w:ascii="Arial" w:hAnsi="Arial"/>
                <w:color w:val="4472C4"/>
                <w:kern w:val="2"/>
                <w:szCs w:val="24"/>
              </w:rPr>
              <w:t>(nurodyti sumą skaičiais)</w:t>
            </w:r>
            <w:r>
              <w:rPr>
                <w:rFonts w:cs="Arial" w:ascii="Arial" w:hAnsi="Arial"/>
                <w:kern w:val="2"/>
                <w:szCs w:val="24"/>
              </w:rPr>
              <w:t xml:space="preserve"> Eur </w:t>
            </w:r>
            <w:r>
              <w:rPr>
                <w:rFonts w:cs="Arial" w:ascii="Arial" w:hAnsi="Arial"/>
                <w:color w:val="4472C4"/>
                <w:kern w:val="2"/>
                <w:szCs w:val="24"/>
              </w:rPr>
              <w:t>(nurodyti sumą žodžiais)</w:t>
            </w:r>
            <w:r>
              <w:rPr>
                <w:rFonts w:cs="Arial" w:ascii="Arial" w:hAnsi="Arial"/>
                <w:kern w:val="2"/>
                <w:szCs w:val="24"/>
              </w:rPr>
              <w:t>.</w:t>
            </w:r>
          </w:p>
          <w:p>
            <w:pPr>
              <w:pStyle w:val="Normal"/>
              <w:jc w:val="both"/>
              <w:rPr>
                <w:rFonts w:ascii="Arial" w:hAnsi="Arial" w:cs="Arial"/>
                <w:szCs w:val="24"/>
              </w:rPr>
            </w:pPr>
            <w:r>
              <w:rPr>
                <w:rFonts w:cs="Arial" w:ascii="Arial" w:hAnsi="Arial"/>
                <w:kern w:val="2"/>
                <w:szCs w:val="24"/>
              </w:rPr>
              <w:t xml:space="preserve">Sutarties kaina yra </w:t>
            </w:r>
            <w:r>
              <w:rPr>
                <w:rFonts w:cs="Arial" w:ascii="Arial" w:hAnsi="Arial"/>
                <w:color w:val="4472C4"/>
                <w:kern w:val="2"/>
                <w:szCs w:val="24"/>
              </w:rPr>
              <w:t>(nurodyti sumą skaičiais)</w:t>
            </w:r>
            <w:r>
              <w:rPr>
                <w:rFonts w:cs="Arial" w:ascii="Arial" w:hAnsi="Arial"/>
                <w:kern w:val="2"/>
                <w:szCs w:val="24"/>
              </w:rPr>
              <w:t xml:space="preserve"> Eur </w:t>
            </w:r>
            <w:r>
              <w:rPr>
                <w:rFonts w:cs="Arial" w:ascii="Arial" w:hAnsi="Arial"/>
                <w:color w:val="4472C4"/>
                <w:kern w:val="2"/>
                <w:szCs w:val="24"/>
              </w:rPr>
              <w:t>(nurodyti sumą žodžiais)</w:t>
            </w:r>
            <w:r>
              <w:rPr>
                <w:rFonts w:cs="Arial" w:ascii="Arial" w:hAnsi="Arial"/>
                <w:kern w:val="2"/>
                <w:szCs w:val="24"/>
              </w:rPr>
              <w:t xml:space="preserve"> su PVM.</w:t>
            </w:r>
          </w:p>
          <w:p>
            <w:pPr>
              <w:pStyle w:val="Normal"/>
              <w:jc w:val="both"/>
              <w:rPr>
                <w:rFonts w:ascii="Arial" w:hAnsi="Arial" w:cs="Arial"/>
                <w:color w:val="FF0000"/>
                <w:kern w:val="2"/>
                <w:szCs w:val="24"/>
              </w:rPr>
            </w:pPr>
            <w:r>
              <w:rPr>
                <w:rFonts w:cs="Arial" w:ascii="Arial" w:hAnsi="Arial"/>
                <w:kern w:val="2"/>
                <w:szCs w:val="24"/>
              </w:rPr>
              <w:t>Šioje Sutartyje P</w:t>
            </w:r>
            <w:r>
              <w:rPr>
                <w:rFonts w:cs="Arial" w:ascii="Arial" w:hAnsi="Arial"/>
                <w:color w:val="000000"/>
                <w:kern w:val="2"/>
                <w:szCs w:val="24"/>
              </w:rPr>
              <w:t>radinės Sutarties vertė yra lygi Tiekėjo pasiūlymo kainai be PVM, nurodytai už visą pirkimo dokumentuose ir Sutartyje nurodytą Paslaugų kiekį ir (ar) apimtį</w:t>
            </w:r>
            <w:r>
              <w:rPr>
                <w:rFonts w:cs="Arial" w:ascii="Arial" w:hAnsi="Arial"/>
                <w:kern w:val="2"/>
                <w:szCs w:val="24"/>
              </w:rPr>
              <w:t>.</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b/>
                <w:kern w:val="2"/>
                <w:szCs w:val="24"/>
              </w:rPr>
              <w:t xml:space="preserve">5.3. Sutarties kainos / įkainių perskaičiavimas taikant </w:t>
            </w:r>
            <w:r>
              <w:rPr>
                <w:rFonts w:cs="Arial" w:ascii="Arial" w:hAnsi="Arial"/>
                <w:b/>
                <w:kern w:val="2"/>
                <w:szCs w:val="24"/>
                <w:u w:val="single"/>
              </w:rPr>
              <w:t>peržiūros</w:t>
            </w:r>
            <w:r>
              <w:rPr>
                <w:rFonts w:cs="Arial" w:ascii="Arial" w:hAnsi="Arial"/>
                <w:b/>
                <w:kern w:val="2"/>
                <w:szCs w:val="24"/>
              </w:rPr>
              <w:t xml:space="preserve"> taisykles</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Cs w:val="24"/>
              </w:rPr>
            </w:pPr>
            <w:r>
              <w:rPr>
                <w:rFonts w:cs="Arial" w:ascii="Arial" w:hAnsi="Arial"/>
                <w:kern w:val="2"/>
                <w:szCs w:val="24"/>
              </w:rPr>
              <w:t xml:space="preserve">Sutarties </w:t>
            </w:r>
            <w:r>
              <w:rPr>
                <w:rFonts w:cs="Arial" w:ascii="Arial" w:hAnsi="Arial"/>
                <w:color w:val="000000"/>
                <w:kern w:val="2"/>
                <w:szCs w:val="24"/>
              </w:rPr>
              <w:t xml:space="preserve">kaina </w:t>
            </w:r>
            <w:r>
              <w:rPr>
                <w:rFonts w:cs="Arial" w:ascii="Arial" w:hAnsi="Arial"/>
                <w:kern w:val="2"/>
                <w:szCs w:val="24"/>
              </w:rPr>
              <w:t>bus perskaičiuojama:</w:t>
            </w:r>
          </w:p>
          <w:p>
            <w:pPr>
              <w:pStyle w:val="Normal"/>
              <w:jc w:val="both"/>
              <w:rPr>
                <w:rFonts w:ascii="Arial" w:hAnsi="Arial" w:cs="Arial"/>
                <w:color w:val="FF0000"/>
                <w:kern w:val="2"/>
                <w:szCs w:val="24"/>
              </w:rPr>
            </w:pPr>
            <w:r>
              <w:rPr>
                <w:rFonts w:cs="Arial" w:ascii="Arial" w:hAnsi="Arial"/>
                <w:kern w:val="2"/>
                <w:szCs w:val="24"/>
              </w:rPr>
              <w:t>5.3.1. dėl PVM tarifo pasikeitimo;</w:t>
            </w:r>
          </w:p>
          <w:p>
            <w:pPr>
              <w:pStyle w:val="Normal"/>
              <w:jc w:val="both"/>
              <w:rPr>
                <w:rFonts w:ascii="Arial" w:hAnsi="Arial" w:cs="Arial"/>
                <w:color w:val="000000"/>
              </w:rPr>
            </w:pPr>
            <w:r>
              <w:rPr>
                <w:rFonts w:cs="Arial" w:ascii="Arial" w:hAnsi="Arial"/>
                <w:color w:val="000000"/>
                <w:kern w:val="2"/>
                <w:szCs w:val="24"/>
              </w:rPr>
              <w:t>5.3.2. dėl kainų lygio pokyčio.</w:t>
            </w:r>
          </w:p>
          <w:p>
            <w:pPr>
              <w:pStyle w:val="Normal"/>
              <w:jc w:val="both"/>
              <w:rPr>
                <w:rFonts w:ascii="Arial" w:hAnsi="Arial" w:cs="Arial"/>
                <w:color w:val="FF0000"/>
                <w:kern w:val="2"/>
                <w:szCs w:val="24"/>
              </w:rPr>
            </w:pPr>
            <w:r>
              <w:rPr>
                <w:rFonts w:cs="Arial" w:ascii="Arial" w:hAnsi="Arial"/>
                <w:color w:val="FF0000"/>
                <w:kern w:val="2"/>
                <w:szCs w:val="24"/>
              </w:rPr>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5.3.1. Sutarties kainos / įkainių peržiūra dėl PVM tarifo pasikeitimo</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Cs w:val="24"/>
              </w:rPr>
            </w:pPr>
            <w:r>
              <w:rPr>
                <w:rFonts w:cs="Arial" w:ascii="Arial" w:hAnsi="Arial"/>
                <w:kern w:val="2"/>
                <w:szCs w:val="24"/>
              </w:rPr>
              <w:t>Jeigu Sutarties vykdymo metu pasikeičia PVM mokėjimą reglamentuojantys teisės aktai, darantys tiesioginę įtaką Tiekėjo t</w:t>
            </w:r>
            <w:r>
              <w:rPr>
                <w:rFonts w:cs="Arial" w:ascii="Arial" w:hAnsi="Arial"/>
                <w:szCs w:val="24"/>
              </w:rPr>
              <w:t>ei</w:t>
            </w:r>
            <w:r>
              <w:rPr>
                <w:rFonts w:cs="Arial" w:ascii="Arial" w:hAnsi="Arial"/>
                <w:kern w:val="2"/>
                <w:szCs w:val="24"/>
              </w:rPr>
              <w:t>kiamų P</w:t>
            </w:r>
            <w:r>
              <w:rPr>
                <w:rFonts w:cs="Arial" w:ascii="Arial" w:hAnsi="Arial"/>
                <w:szCs w:val="24"/>
              </w:rPr>
              <w:t>aslaugų</w:t>
            </w:r>
            <w:r>
              <w:rPr>
                <w:rFonts w:cs="Arial" w:ascii="Arial" w:hAnsi="Arial"/>
                <w:kern w:val="2"/>
                <w:szCs w:val="24"/>
              </w:rPr>
              <w:t xml:space="preserve"> Sutartyje nurodytai kainai / įkainiams, Sutarties kaina / įkainiai perskaičiuojami nekeičiant P</w:t>
            </w:r>
            <w:r>
              <w:rPr>
                <w:rFonts w:cs="Arial" w:ascii="Arial" w:hAnsi="Arial"/>
                <w:szCs w:val="24"/>
              </w:rPr>
              <w:t>aslaugų</w:t>
            </w:r>
            <w:r>
              <w:rPr>
                <w:rFonts w:cs="Arial" w:ascii="Arial" w:hAnsi="Arial"/>
                <w:kern w:val="2"/>
                <w:szCs w:val="24"/>
              </w:rPr>
              <w:t xml:space="preserve"> kainos / įkainio be PVM.</w:t>
            </w:r>
          </w:p>
          <w:p>
            <w:pPr>
              <w:pStyle w:val="Normal"/>
              <w:jc w:val="both"/>
              <w:rPr>
                <w:rFonts w:ascii="Arial" w:hAnsi="Arial" w:cs="Arial"/>
                <w:kern w:val="2"/>
                <w:szCs w:val="24"/>
              </w:rPr>
            </w:pPr>
            <w:r>
              <w:rPr>
                <w:rFonts w:cs="Arial" w:ascii="Arial" w:hAnsi="Arial"/>
                <w:kern w:val="2"/>
                <w:szCs w:val="24"/>
              </w:rPr>
            </w:r>
          </w:p>
          <w:p>
            <w:pPr>
              <w:pStyle w:val="Normal"/>
              <w:jc w:val="both"/>
              <w:rPr>
                <w:rFonts w:ascii="Arial" w:hAnsi="Arial" w:cs="Arial"/>
                <w:kern w:val="2"/>
                <w:szCs w:val="24"/>
              </w:rPr>
            </w:pPr>
            <w:r>
              <w:rPr>
                <w:rFonts w:cs="Arial" w:ascii="Arial" w:hAnsi="Arial"/>
                <w:color w:val="000000"/>
                <w:kern w:val="2"/>
                <w:szCs w:val="24"/>
              </w:rPr>
              <w:t>Perskaičiavimas įforminamas Susitarimu ne vėliau kaip per 10 (dešimt) darbo dienų nuo PVM mokėjimą reglamentuojančių teisės aktų pasikeitimo, kuris tampa neatskiriama Sutarties dalimi. Perskaičiuota Sutarties kaina taikoma už tą Paslaugų dalį, kurios bus teikiamos nuo Susitarime nurodytos dienos.</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szCs w:val="24"/>
              </w:rPr>
            </w:pPr>
            <w:r>
              <w:rPr>
                <w:rFonts w:cs="Arial" w:ascii="Arial" w:hAnsi="Arial"/>
                <w:b/>
                <w:bCs/>
                <w:kern w:val="2"/>
                <w:szCs w:val="24"/>
              </w:rPr>
              <w:t>5.3.2.</w:t>
            </w:r>
            <w:r>
              <w:rPr>
                <w:rFonts w:cs="Arial" w:ascii="Arial" w:hAnsi="Arial"/>
                <w:kern w:val="2"/>
                <w:szCs w:val="24"/>
              </w:rPr>
              <w:t xml:space="preserve"> </w:t>
            </w:r>
            <w:r>
              <w:rPr>
                <w:rFonts w:cs="Arial" w:ascii="Arial" w:hAnsi="Arial"/>
                <w:b/>
                <w:bCs/>
                <w:kern w:val="2"/>
                <w:szCs w:val="24"/>
              </w:rPr>
              <w:t>Sutarties kainos / įkainių peržiūra dėl kitų mokesčių, lemiančių Paslaugų kainos / įkainių pokytį, pasikeitimo</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Netaikoma</w:t>
            </w:r>
          </w:p>
          <w:p>
            <w:pPr>
              <w:pStyle w:val="Normal"/>
              <w:jc w:val="both"/>
              <w:rPr>
                <w:rFonts w:ascii="Arial" w:hAnsi="Arial" w:cs="Arial"/>
                <w:kern w:val="2"/>
                <w:szCs w:val="24"/>
              </w:rPr>
            </w:pPr>
            <w:r>
              <w:rPr>
                <w:rFonts w:cs="Arial" w:ascii="Arial" w:hAnsi="Arial"/>
                <w:kern w:val="2"/>
                <w:szCs w:val="24"/>
              </w:rPr>
            </w:r>
          </w:p>
          <w:p>
            <w:pPr>
              <w:pStyle w:val="Normal"/>
              <w:jc w:val="both"/>
              <w:rPr>
                <w:rFonts w:ascii="Arial" w:hAnsi="Arial" w:cs="Arial"/>
                <w:color w:val="FF0000"/>
                <w:kern w:val="2"/>
                <w:szCs w:val="24"/>
              </w:rPr>
            </w:pPr>
            <w:r>
              <w:rPr>
                <w:rFonts w:cs="Arial" w:ascii="Arial" w:hAnsi="Arial"/>
                <w:color w:val="FF0000"/>
                <w:kern w:val="2"/>
                <w:szCs w:val="24"/>
              </w:rPr>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5.3.3. Sutarties kainos / įkainių peržiūra dėl kainų lygio pokyčio</w:t>
            </w:r>
          </w:p>
          <w:p>
            <w:pPr>
              <w:pStyle w:val="Normal"/>
              <w:rPr>
                <w:rFonts w:ascii="Arial" w:hAnsi="Arial" w:cs="Arial"/>
                <w:kern w:val="2"/>
                <w:szCs w:val="24"/>
              </w:rPr>
            </w:pPr>
            <w:r>
              <w:rPr>
                <w:rFonts w:cs="Arial" w:ascii="Arial" w:hAnsi="Arial"/>
                <w:kern w:val="2"/>
                <w:szCs w:val="24"/>
              </w:rPr>
            </w:r>
          </w:p>
          <w:p>
            <w:pPr>
              <w:pStyle w:val="Normal"/>
              <w:rPr>
                <w:rFonts w:ascii="Arial" w:hAnsi="Arial" w:cs="Arial"/>
                <w:b/>
                <w:kern w:val="2"/>
                <w:szCs w:val="24"/>
              </w:rPr>
            </w:pPr>
            <w:r>
              <w:rPr>
                <w:rFonts w:cs="Arial" w:ascii="Arial" w:hAnsi="Arial"/>
                <w:b/>
                <w:kern w:val="2"/>
                <w:szCs w:val="24"/>
              </w:rPr>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color w:val="000000"/>
              </w:rPr>
            </w:pPr>
            <w:r>
              <w:rPr>
                <w:rFonts w:cs="Arial" w:ascii="Arial" w:hAnsi="Arial"/>
                <w:color w:val="000000"/>
                <w:kern w:val="2"/>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Paslaugų kainų pokytis (k), apskaičiuotas kaip nustatyta 5.3.3.6 punkte, viršija 5 procentus. Sutarties kainos peržiūra atliekama ne dažniau kaip kas 6 (šeši) mėnesiai. 5.3.3.2. Sutarties kaina peržiūrima tik tai Sutarties daliai, kuri nėra išpirkta, t. y. Paslaugoms, kurios nėra priimtos ir apmokėtos. Vėlesnė Sutarties kainos peržiūra negali apimti laikotarpio, už kurį jau buvo atlikta peržiūra.</w:t>
            </w:r>
          </w:p>
          <w:p>
            <w:pPr>
              <w:pStyle w:val="Normal"/>
              <w:jc w:val="both"/>
              <w:rPr>
                <w:rFonts w:ascii="Arial" w:hAnsi="Arial" w:cs="Arial"/>
                <w:color w:val="000000"/>
                <w:kern w:val="2"/>
                <w:szCs w:val="24"/>
              </w:rPr>
            </w:pPr>
            <w:r>
              <w:rPr>
                <w:rFonts w:cs="Arial" w:ascii="Arial" w:hAnsi="Arial"/>
                <w:color w:val="000000"/>
                <w:kern w:val="2"/>
                <w:szCs w:val="24"/>
              </w:rPr>
              <w:t>5.3.3.3. Jeigu Paslaugų teikimas vėluoja dėl Tiekėjo kaltės, uždelstų suteikti Paslaugų kaina nėra perskaičiuojama dėl kainų lygio kilimo (gali būti mažinami, tačiau negali būti didinami).</w:t>
            </w:r>
          </w:p>
          <w:p>
            <w:pPr>
              <w:pStyle w:val="Normal"/>
              <w:jc w:val="both"/>
              <w:rPr>
                <w:rFonts w:ascii="Arial" w:hAnsi="Arial" w:cs="Arial"/>
                <w:color w:val="000000"/>
              </w:rPr>
            </w:pPr>
            <w:r>
              <w:rPr>
                <w:rFonts w:cs="Arial" w:ascii="Arial" w:hAnsi="Arial"/>
                <w:color w:val="000000"/>
                <w:kern w:val="2"/>
                <w:szCs w:val="24"/>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pPr>
              <w:pStyle w:val="Normal"/>
              <w:jc w:val="both"/>
              <w:rPr>
                <w:rFonts w:ascii="Arial" w:hAnsi="Arial" w:cs="Arial"/>
                <w:color w:val="000000"/>
              </w:rPr>
            </w:pPr>
            <w:r>
              <w:rPr>
                <w:rFonts w:cs="Arial" w:ascii="Arial" w:hAnsi="Arial"/>
                <w:color w:val="000000"/>
                <w:kern w:val="2"/>
                <w:szCs w:val="24"/>
              </w:rPr>
              <w:t>5.3.3.5. Šalys privalo Susitarime nurodyti paslaugų indekso reikšmę laikotarpio pradžioje ir jo nustatymo datą, indekso reikšmę laikotarpio pabaigoje ir jo nustatymo datą, kainų pokytį (k), perskaičiuotą Sutarties kainą, perskaičiuotą Pradinės Sutarties vertę.</w:t>
            </w:r>
          </w:p>
          <w:p>
            <w:pPr>
              <w:pStyle w:val="Normal"/>
              <w:jc w:val="both"/>
              <w:rPr>
                <w:rFonts w:ascii="Arial" w:hAnsi="Arial" w:cs="Arial"/>
                <w:color w:val="000000"/>
              </w:rPr>
            </w:pPr>
            <w:r>
              <w:rPr>
                <w:rFonts w:cs="Arial" w:ascii="Arial" w:hAnsi="Arial"/>
                <w:color w:val="000000"/>
                <w:kern w:val="2"/>
                <w:szCs w:val="24"/>
              </w:rPr>
              <w:t>5.3.3.6. Nauja Sutarties kaina apskaičiuojami pagal žemiau pateiktą formulę:</w:t>
            </w:r>
          </w:p>
          <w:p>
            <w:pPr>
              <w:pStyle w:val="Normal"/>
              <w:jc w:val="both"/>
              <w:rPr>
                <w:rFonts w:ascii="Arial" w:hAnsi="Arial" w:cs="Arial"/>
                <w:kern w:val="2"/>
                <w:szCs w:val="24"/>
              </w:rPr>
            </w:pPr>
            <w:r>
              <w:rPr/>
            </w:r>
            <m:oMath xmlns:m="http://schemas.openxmlformats.org/officeDocument/2006/math">
              <m:sSub>
                <m:e>
                  <m:r>
                    <w:rPr>
                      <w:rFonts w:ascii="Cambria Math" w:hAnsi="Cambria Math"/>
                    </w:rPr>
                    <m:t xml:space="preserve">a</m:t>
                  </m:r>
                </m:e>
                <m:sub>
                  <m:r>
                    <w:rPr>
                      <w:rFonts w:ascii="Cambria Math" w:hAnsi="Cambria Math"/>
                    </w:rPr>
                    <m:t xml:space="preserve">1</m:t>
                  </m:r>
                </m:sub>
              </m:sSub>
              <m:r>
                <w:rPr>
                  <w:rFonts w:ascii="Cambria Math" w:hAnsi="Cambria Math"/>
                </w:rPr>
                <m:t xml:space="preserve">=</m:t>
              </m:r>
              <m:r>
                <w:rPr>
                  <w:rFonts w:ascii="Cambria Math" w:hAnsi="Cambria Math"/>
                </w:rPr>
                <m:t xml:space="preserve">a</m:t>
              </m:r>
              <m:r>
                <w:rPr>
                  <w:rFonts w:ascii="Cambria Math" w:hAnsi="Cambria Math"/>
                </w:rPr>
                <m:t xml:space="preserve">+</m:t>
              </m:r>
              <m:d>
                <m:dPr>
                  <m:begChr m:val="("/>
                  <m:endChr m:val=")"/>
                </m:dPr>
                <m:e>
                  <m:f>
                    <m:num>
                      <m:r>
                        <w:rPr>
                          <w:rFonts w:ascii="Cambria Math" w:hAnsi="Cambria Math"/>
                        </w:rPr>
                        <m:t xml:space="preserve">k</m:t>
                      </m:r>
                    </m:num>
                    <m:den>
                      <m:r>
                        <w:rPr>
                          <w:rFonts w:ascii="Cambria Math" w:hAnsi="Cambria Math"/>
                        </w:rPr>
                        <m:t xml:space="preserve">100</m:t>
                      </m:r>
                    </m:den>
                  </m:f>
                  <m:r>
                    <w:rPr>
                      <w:rFonts w:ascii="Cambria Math" w:hAnsi="Cambria Math"/>
                    </w:rPr>
                    <m:t xml:space="preserve">×</m:t>
                  </m:r>
                  <m:r>
                    <w:rPr>
                      <w:rFonts w:ascii="Cambria Math" w:hAnsi="Cambria Math"/>
                    </w:rPr>
                    <m:t xml:space="preserve">a</m:t>
                  </m:r>
                </m:e>
              </m:d>
            </m:oMath>
            <w:r>
              <w:rPr>
                <w:rFonts w:cs="Arial" w:ascii="Arial" w:hAnsi="Arial"/>
                <w:kern w:val="2"/>
                <w:szCs w:val="24"/>
              </w:rPr>
              <w:t>,</w:t>
            </w:r>
            <w:r>
              <w:rPr>
                <w:rFonts w:cs="Arial" w:ascii="Arial" w:hAnsi="Arial"/>
                <w:color w:val="FF0000"/>
                <w:kern w:val="2"/>
                <w:szCs w:val="24"/>
              </w:rPr>
              <w:t xml:space="preserve"> </w:t>
            </w:r>
            <w:r>
              <w:rPr>
                <w:rFonts w:cs="Arial" w:ascii="Arial" w:hAnsi="Arial"/>
                <w:color w:val="000000"/>
                <w:kern w:val="2"/>
                <w:szCs w:val="24"/>
              </w:rPr>
              <w:t>kur a – kaina (Eur be PVM) (jei peržiūra jau buvo atlikta, tai po paskutinio perskaičiavimo) a</w:t>
            </w:r>
            <w:r>
              <w:rPr>
                <w:rFonts w:cs="Arial" w:ascii="Arial" w:hAnsi="Arial"/>
                <w:color w:val="000000"/>
                <w:kern w:val="2"/>
                <w:szCs w:val="24"/>
                <w:vertAlign w:val="subscript"/>
              </w:rPr>
              <w:t>1</w:t>
            </w:r>
            <w:r>
              <w:rPr>
                <w:rFonts w:cs="Arial" w:ascii="Arial" w:hAnsi="Arial"/>
                <w:color w:val="000000"/>
                <w:kern w:val="2"/>
                <w:szCs w:val="24"/>
              </w:rPr>
              <w:t xml:space="preserve"> – perskaičiuota (pakeista) kaina (Eur be PVM)</w:t>
            </w:r>
          </w:p>
          <w:p>
            <w:pPr>
              <w:pStyle w:val="Normal"/>
              <w:jc w:val="both"/>
              <w:rPr>
                <w:rFonts w:ascii="Arial" w:hAnsi="Arial" w:cs="Arial"/>
                <w:color w:val="000000"/>
              </w:rPr>
            </w:pPr>
            <w:r>
              <w:rPr>
                <w:rFonts w:cs="Arial" w:ascii="Arial" w:hAnsi="Arial"/>
                <w:color w:val="000000"/>
                <w:kern w:val="2"/>
                <w:szCs w:val="24"/>
              </w:rPr>
              <w:t>k – pagal paslaugų kainų indeksą M71 „Architektūros ir inžinerijos veikla; techninis tikrinimas ir analizė“ apskaičiuotas paslaugų kainų pokytis (padidėjimas arba sumažėjimas) (%). „k“ reikšmė skaičiuojama pagal formulę:</w:t>
            </w:r>
          </w:p>
          <w:p>
            <w:pPr>
              <w:pStyle w:val="Normal"/>
              <w:jc w:val="both"/>
              <w:rPr>
                <w:rFonts w:ascii="Arial" w:hAnsi="Arial" w:cs="Arial"/>
                <w:color w:val="000000"/>
              </w:rPr>
            </w:pPr>
            <w:r>
              <w:rPr/>
            </w:r>
            <m:oMath xmlns:m="http://schemas.openxmlformats.org/officeDocument/2006/math">
              <m:r>
                <w:rPr>
                  <w:rFonts w:ascii="Cambria Math" w:hAnsi="Cambria Math"/>
                </w:rPr>
                <m:t xml:space="preserve">k</m:t>
              </m:r>
              <m:r>
                <w:rPr>
                  <w:rFonts w:ascii="Cambria Math" w:hAnsi="Cambria Math"/>
                </w:rPr>
                <m:t xml:space="preserve">=</m:t>
              </m:r>
              <m:f>
                <m:num>
                  <m:sSub>
                    <m:e>
                      <m:r>
                        <w:rPr>
                          <w:rFonts w:ascii="Cambria Math" w:hAnsi="Cambria Math"/>
                        </w:rPr>
                        <m:t xml:space="preserve">Ind</m:t>
                      </m:r>
                    </m:e>
                    <m:sub>
                      <m:r>
                        <w:rPr>
                          <w:rFonts w:ascii="Cambria Math" w:hAnsi="Cambria Math"/>
                        </w:rPr>
                        <m:t xml:space="preserve">naujausias</m:t>
                      </m:r>
                    </m:sub>
                  </m:sSub>
                </m:num>
                <m:den>
                  <m:sSub>
                    <m:e>
                      <m:r>
                        <w:rPr>
                          <w:rFonts w:ascii="Cambria Math" w:hAnsi="Cambria Math"/>
                        </w:rPr>
                        <m:t xml:space="preserve">Ind</m:t>
                      </m:r>
                    </m:e>
                    <m:sub>
                      <m:r>
                        <w:rPr>
                          <w:rFonts w:ascii="Cambria Math" w:hAnsi="Cambria Math"/>
                        </w:rPr>
                        <m:t xml:space="preserve">pradžia</m:t>
                      </m:r>
                    </m:sub>
                  </m:sSub>
                </m:den>
              </m:f>
              <m:r>
                <w:rPr>
                  <w:rFonts w:ascii="Cambria Math" w:hAnsi="Cambria Math"/>
                </w:rPr>
                <m:t xml:space="preserve">×</m:t>
              </m:r>
              <m:r>
                <w:rPr>
                  <w:rFonts w:ascii="Cambria Math" w:hAnsi="Cambria Math"/>
                </w:rPr>
                <m:t xml:space="preserve">100</m:t>
              </m:r>
              <m:r>
                <w:rPr>
                  <w:rFonts w:ascii="Cambria Math" w:hAnsi="Cambria Math"/>
                </w:rPr>
                <m:t xml:space="preserve">−</m:t>
              </m:r>
              <m:r>
                <w:rPr>
                  <w:rFonts w:ascii="Cambria Math" w:hAnsi="Cambria Math"/>
                </w:rPr>
                <m:t xml:space="preserve">100</m:t>
              </m:r>
            </m:oMath>
            <w:r>
              <w:rPr>
                <w:rFonts w:cs="Arial" w:ascii="Arial" w:hAnsi="Arial"/>
                <w:color w:val="000000"/>
                <w:kern w:val="2"/>
                <w:szCs w:val="24"/>
              </w:rPr>
              <w:t>, (proc.) kur</w:t>
            </w:r>
          </w:p>
          <w:p>
            <w:pPr>
              <w:pStyle w:val="Normal"/>
              <w:jc w:val="both"/>
              <w:rPr>
                <w:rFonts w:ascii="Arial" w:hAnsi="Arial" w:cs="Arial"/>
                <w:color w:val="000000"/>
              </w:rPr>
            </w:pPr>
            <w:r>
              <w:rPr>
                <w:rFonts w:cs="Arial" w:ascii="Arial" w:hAnsi="Arial"/>
                <w:color w:val="000000"/>
                <w:kern w:val="2"/>
                <w:szCs w:val="24"/>
              </w:rPr>
              <w:t>Ind</w:t>
            </w:r>
            <w:r>
              <w:rPr>
                <w:rFonts w:cs="Arial" w:ascii="Arial" w:hAnsi="Arial"/>
                <w:color w:val="000000"/>
                <w:kern w:val="2"/>
                <w:szCs w:val="24"/>
                <w:vertAlign w:val="subscript"/>
              </w:rPr>
              <w:t>naujausias</w:t>
            </w:r>
            <w:r>
              <w:rPr>
                <w:rFonts w:cs="Arial" w:ascii="Arial" w:hAnsi="Arial"/>
                <w:color w:val="000000"/>
                <w:kern w:val="2"/>
                <w:szCs w:val="24"/>
              </w:rPr>
              <w:t xml:space="preserve"> – kreipimosi dėl kainos peržiūros išsiuntimo kitai Šaliai dieną paskelbtas naujausias paslaugų kainų indeksas M71 „Architektūros ir inžinerijos veikla; techninis tikrinimas ir analizė“.</w:t>
            </w:r>
          </w:p>
          <w:p>
            <w:pPr>
              <w:pStyle w:val="Normal"/>
              <w:jc w:val="both"/>
              <w:rPr>
                <w:rFonts w:ascii="Arial" w:hAnsi="Arial" w:cs="Arial"/>
                <w:color w:val="000000"/>
              </w:rPr>
            </w:pPr>
            <w:r>
              <w:rPr>
                <w:rFonts w:cs="Arial" w:ascii="Arial" w:hAnsi="Arial"/>
                <w:color w:val="000000"/>
                <w:kern w:val="2"/>
                <w:szCs w:val="24"/>
              </w:rPr>
              <w:t>Ind</w:t>
            </w:r>
            <w:r>
              <w:rPr>
                <w:rFonts w:cs="Arial" w:ascii="Arial" w:hAnsi="Arial"/>
                <w:color w:val="000000"/>
                <w:kern w:val="2"/>
                <w:szCs w:val="24"/>
                <w:vertAlign w:val="subscript"/>
              </w:rPr>
              <w:t>pradžia</w:t>
            </w:r>
            <w:r>
              <w:rPr>
                <w:rFonts w:cs="Arial" w:ascii="Arial" w:hAnsi="Arial"/>
                <w:color w:val="000000"/>
                <w:kern w:val="2"/>
                <w:szCs w:val="24"/>
              </w:rPr>
              <w:t xml:space="preserve"> – laikotarpio pradžios datos (mėnesio) paslaugų kainų indeksas M71 „Architektūros ir inžinerijos veikla; techninis tikrinimas ir analizė“.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pPr>
              <w:pStyle w:val="Normal"/>
              <w:jc w:val="both"/>
              <w:rPr>
                <w:rFonts w:ascii="Arial" w:hAnsi="Arial" w:cs="Arial"/>
                <w:color w:val="000000"/>
              </w:rPr>
            </w:pPr>
            <w:r>
              <w:rPr>
                <w:rFonts w:cs="Arial" w:ascii="Arial" w:hAnsi="Arial"/>
                <w:color w:val="000000"/>
                <w:kern w:val="2"/>
                <w:szCs w:val="24"/>
              </w:rPr>
              <w:t>5.3.3.7. Skaičiavimams indeksų reikšmės imamos keturių skaitmenų po kablelio tikslumu. Apskaičiuotas pokytis (k) tolimesniems skaičiavimams naudojamas suapvalinus iki vieno skaitmens po kablelio, o apskaičiuotas įkainis „a</w:t>
            </w:r>
            <w:r>
              <w:rPr>
                <w:rFonts w:cs="Arial" w:ascii="Arial" w:hAnsi="Arial"/>
                <w:color w:val="000000"/>
                <w:kern w:val="2"/>
                <w:szCs w:val="24"/>
                <w:vertAlign w:val="subscript"/>
              </w:rPr>
              <w:t>1</w:t>
            </w:r>
            <w:r>
              <w:rPr>
                <w:rFonts w:cs="Arial" w:ascii="Arial" w:hAnsi="Arial"/>
                <w:color w:val="000000"/>
                <w:kern w:val="2"/>
                <w:szCs w:val="24"/>
              </w:rPr>
              <w:t>“ suapvalinamas iki dviejų skaitmenų po kablelio.</w:t>
            </w:r>
          </w:p>
          <w:p>
            <w:pPr>
              <w:pStyle w:val="Normal"/>
              <w:jc w:val="both"/>
              <w:rPr>
                <w:rFonts w:ascii="Arial" w:hAnsi="Arial" w:cs="Arial"/>
                <w:color w:val="000000"/>
              </w:rPr>
            </w:pPr>
            <w:r>
              <w:rPr>
                <w:rFonts w:cs="Arial" w:ascii="Arial" w:hAnsi="Arial"/>
                <w:color w:val="000000"/>
                <w:kern w:val="2"/>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pPr>
              <w:pStyle w:val="Normal"/>
              <w:jc w:val="both"/>
              <w:rPr>
                <w:rFonts w:ascii="Arial" w:hAnsi="Arial" w:cs="Arial"/>
                <w:color w:val="000000"/>
              </w:rPr>
            </w:pPr>
            <w:r>
              <w:rPr>
                <w:rFonts w:cs="Arial" w:ascii="Arial" w:hAnsi="Arial"/>
                <w:color w:val="000000"/>
                <w:kern w:val="2"/>
                <w:szCs w:val="24"/>
              </w:rPr>
              <w:t>5.3.3.9. Susitarimas turi būti sudarytas per 10 (dešimt) darbo dienų nuo Šalies pateikto tinkamo prašymo perskaičiuoti Sutarties kainą gavimo dienos.</w:t>
            </w:r>
          </w:p>
          <w:p>
            <w:pPr>
              <w:pStyle w:val="Normal"/>
              <w:jc w:val="both"/>
              <w:rPr>
                <w:rFonts w:ascii="Arial" w:hAnsi="Arial" w:cs="Arial"/>
                <w:color w:val="FF0000"/>
                <w:kern w:val="2"/>
                <w:szCs w:val="24"/>
              </w:rPr>
            </w:pPr>
            <w:r>
              <w:rPr>
                <w:rFonts w:cs="Arial" w:ascii="Arial" w:hAnsi="Arial"/>
                <w:color w:val="000000"/>
                <w:kern w:val="2"/>
                <w:szCs w:val="24"/>
              </w:rPr>
              <w:t>5.3.3.10. Susitarimu Šalys neturi teisės keisti procedūroje nurodytos tvarkos ar kitų Sutarties nuostatų, išskyrus, jei keitimas atliekamas pagal VPĮ nuostatas.</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 xml:space="preserve">5.3.4. Sutarties kainos / įkainių peržiūra dėl kainų lygio pokyčio pagal </w:t>
            </w:r>
            <w:r>
              <w:rPr>
                <w:rFonts w:cs="Arial" w:ascii="Arial" w:hAnsi="Arial"/>
                <w:b/>
                <w:bCs/>
                <w:kern w:val="2"/>
                <w:szCs w:val="24"/>
              </w:rPr>
              <w:t>Paslaugų</w:t>
            </w:r>
            <w:r>
              <w:rPr>
                <w:rFonts w:cs="Arial" w:ascii="Arial" w:hAnsi="Arial"/>
                <w:b/>
                <w:kern w:val="2"/>
                <w:szCs w:val="24"/>
              </w:rPr>
              <w:t xml:space="preserve"> grupių kainų pokyčius</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Netaikoma</w:t>
            </w:r>
          </w:p>
          <w:p>
            <w:pPr>
              <w:pStyle w:val="Normal"/>
              <w:rPr>
                <w:rFonts w:ascii="Arial" w:hAnsi="Arial" w:cs="Arial"/>
                <w:kern w:val="2"/>
                <w:szCs w:val="24"/>
              </w:rPr>
            </w:pPr>
            <w:r>
              <w:rPr>
                <w:rFonts w:cs="Arial" w:ascii="Arial" w:hAnsi="Arial"/>
                <w:kern w:val="2"/>
                <w:szCs w:val="24"/>
              </w:rPr>
            </w:r>
          </w:p>
          <w:p>
            <w:pPr>
              <w:pStyle w:val="Normal"/>
              <w:rPr>
                <w:rFonts w:ascii="Arial" w:hAnsi="Arial" w:cs="Arial"/>
                <w:color w:val="FF0000"/>
                <w:kern w:val="2"/>
                <w:szCs w:val="24"/>
              </w:rPr>
            </w:pPr>
            <w:r>
              <w:rPr>
                <w:rFonts w:cs="Arial" w:ascii="Arial" w:hAnsi="Arial"/>
                <w:color w:val="FF0000"/>
                <w:kern w:val="2"/>
                <w:szCs w:val="24"/>
              </w:rPr>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Cs w:val="24"/>
              </w:rPr>
            </w:pPr>
            <w:r>
              <w:rPr>
                <w:rFonts w:cs="Arial" w:ascii="Arial" w:hAnsi="Arial"/>
                <w:b/>
                <w:bCs/>
                <w:kern w:val="2"/>
                <w:szCs w:val="24"/>
              </w:rPr>
              <w:t xml:space="preserve">5.4. Sutarties kainos / įkainių apskaičiavimas taikant </w:t>
            </w:r>
            <w:r>
              <w:rPr>
                <w:rFonts w:cs="Arial" w:ascii="Arial" w:hAnsi="Arial"/>
                <w:b/>
                <w:bCs/>
                <w:kern w:val="2"/>
                <w:szCs w:val="24"/>
                <w:u w:val="single"/>
              </w:rPr>
              <w:t>kiekio (apimties)</w:t>
            </w:r>
            <w:r>
              <w:rPr>
                <w:rFonts w:cs="Arial" w:ascii="Arial" w:hAnsi="Arial"/>
                <w:b/>
                <w:bCs/>
                <w:kern w:val="2"/>
                <w:szCs w:val="24"/>
              </w:rPr>
              <w:t xml:space="preserve"> keitimo taisykles</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Netaikoma</w:t>
            </w:r>
          </w:p>
          <w:p>
            <w:pPr>
              <w:pStyle w:val="Normal"/>
              <w:rPr>
                <w:rFonts w:ascii="Arial" w:hAnsi="Arial" w:cs="Arial"/>
                <w:kern w:val="2"/>
                <w:szCs w:val="24"/>
              </w:rPr>
            </w:pPr>
            <w:r>
              <w:rPr>
                <w:rFonts w:cs="Arial" w:ascii="Arial" w:hAnsi="Arial"/>
                <w:kern w:val="2"/>
                <w:szCs w:val="24"/>
              </w:rPr>
            </w:r>
          </w:p>
          <w:p>
            <w:pPr>
              <w:pStyle w:val="Normal"/>
              <w:rPr>
                <w:rFonts w:ascii="Arial" w:hAnsi="Arial" w:cs="Arial"/>
                <w:color w:val="FF0000"/>
                <w:kern w:val="2"/>
                <w:szCs w:val="24"/>
              </w:rPr>
            </w:pPr>
            <w:r>
              <w:rPr>
                <w:rFonts w:cs="Arial" w:ascii="Arial" w:hAnsi="Arial"/>
                <w:color w:val="FF0000"/>
                <w:kern w:val="2"/>
                <w:szCs w:val="24"/>
              </w:rPr>
            </w:r>
          </w:p>
          <w:p>
            <w:pPr>
              <w:pStyle w:val="Normal"/>
              <w:rPr>
                <w:rFonts w:ascii="Arial" w:hAnsi="Arial" w:cs="Arial"/>
                <w:color w:val="4472C4"/>
                <w:kern w:val="2"/>
                <w:szCs w:val="24"/>
              </w:rPr>
            </w:pPr>
            <w:r>
              <w:rPr>
                <w:rFonts w:cs="Arial" w:ascii="Arial" w:hAnsi="Arial"/>
                <w:color w:val="4472C4"/>
                <w:kern w:val="2"/>
                <w:szCs w:val="24"/>
              </w:rPr>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5.5. Atsiskaitymo su Tiekėju terminas ir tvarka</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color w:val="000000"/>
              </w:rPr>
            </w:pPr>
            <w:r>
              <w:rPr>
                <w:rFonts w:cs="Arial" w:ascii="Arial" w:hAnsi="Arial"/>
                <w:color w:val="000000"/>
                <w:kern w:val="2"/>
                <w:szCs w:val="24"/>
                <w:shd w:fill="FFFFFF" w:val="clear"/>
              </w:rPr>
              <w:t>Pirkėjas atsiskaito su Tiekėju ne vėliau kaip per 30 kalendorinių dienų nuo Sąskaitos gavimo dienos.</w:t>
            </w:r>
          </w:p>
          <w:p>
            <w:pPr>
              <w:pStyle w:val="Normal"/>
              <w:jc w:val="both"/>
              <w:rPr>
                <w:rFonts w:ascii="Arial" w:hAnsi="Arial" w:cs="Arial"/>
                <w:color w:val="000000"/>
                <w:kern w:val="2"/>
                <w:szCs w:val="24"/>
                <w:shd w:fill="FFFFFF" w:val="clear"/>
              </w:rPr>
            </w:pPr>
            <w:r>
              <w:rPr>
                <w:rFonts w:cs="Arial" w:ascii="Arial" w:hAnsi="Arial"/>
                <w:color w:val="000000"/>
                <w:kern w:val="2"/>
                <w:szCs w:val="24"/>
                <w:shd w:fill="FFFFFF" w:val="clear"/>
              </w:rPr>
            </w:r>
          </w:p>
          <w:p>
            <w:pPr>
              <w:pStyle w:val="Normal"/>
              <w:jc w:val="both"/>
              <w:rPr>
                <w:rFonts w:ascii="Arial" w:hAnsi="Arial" w:cs="Arial"/>
              </w:rPr>
            </w:pPr>
            <w:r>
              <w:rPr>
                <w:rFonts w:cs="Arial" w:ascii="Arial" w:hAnsi="Arial"/>
                <w:color w:val="000000"/>
                <w:kern w:val="2"/>
                <w:szCs w:val="24"/>
                <w:shd w:fill="FFFFFF" w:val="clear"/>
              </w:rPr>
              <w:t>Apmokėjimo sąlygos: įvykdžius visus sutartinius įsipareigojimus, sumokama visa Sutarties kaina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5.6. Avansas</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FF0000"/>
                <w:kern w:val="2"/>
                <w:szCs w:val="24"/>
              </w:rPr>
            </w:pPr>
            <w:r>
              <w:rPr>
                <w:rFonts w:cs="Arial" w:ascii="Arial" w:hAnsi="Arial"/>
                <w:kern w:val="2"/>
                <w:szCs w:val="24"/>
              </w:rPr>
              <w:t>Netaikoma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5.7. Avanso užtikrinimas</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FF0000"/>
                <w:kern w:val="2"/>
                <w:szCs w:val="24"/>
              </w:rPr>
            </w:pPr>
            <w:r>
              <w:rPr>
                <w:rFonts w:cs="Arial" w:ascii="Arial" w:hAnsi="Arial"/>
                <w:kern w:val="2"/>
                <w:szCs w:val="24"/>
              </w:rPr>
              <w:t>Netaikoma</w:t>
            </w:r>
          </w:p>
        </w:tc>
      </w:tr>
      <w:tr>
        <w:trPr>
          <w:trHeight w:val="300" w:hRule="atLeast"/>
        </w:trPr>
        <w:tc>
          <w:tcPr>
            <w:tcW w:w="10097"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6. PASLAUGŲ KOKYBĖ IR GARANTINIAI ĮSIPAREIGOJIMAI</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6.1. Garantinis terminas</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FF0000"/>
                <w:kern w:val="2"/>
                <w:szCs w:val="24"/>
              </w:rPr>
            </w:pPr>
            <w:r>
              <w:rPr>
                <w:rFonts w:cs="Arial" w:ascii="Arial" w:hAnsi="Arial"/>
                <w:kern w:val="2"/>
                <w:szCs w:val="24"/>
              </w:rPr>
              <w:t>Netaikoma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szCs w:val="24"/>
              </w:rPr>
              <w:t>6.2. Terminas Paslaugų trūkumams pašalinti</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color w:val="000000"/>
              </w:rPr>
            </w:pPr>
            <w:r>
              <w:rPr>
                <w:rFonts w:cs="Arial" w:ascii="Arial" w:hAnsi="Arial"/>
                <w:color w:val="000000"/>
                <w:kern w:val="2"/>
                <w:szCs w:val="24"/>
              </w:rPr>
              <w:t>Bet kuriuo Sutarties galiojimo metu nustačius Paslaugų trūkumų, Tiekėjas turi ne vėliau kaip per terminą, nurodytą rašytinėje pretenzijoje, pašalinti Paslaugų trūkumus.</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szCs w:val="24"/>
              </w:rPr>
            </w:pPr>
            <w:r>
              <w:rPr>
                <w:rFonts w:cs="Arial" w:ascii="Arial" w:hAnsi="Arial"/>
                <w:b/>
                <w:szCs w:val="24"/>
              </w:rPr>
              <w:t xml:space="preserve">6.3. Kokybinių kriterijų įgyvendinimo </w:t>
            </w:r>
            <w:r>
              <w:rPr>
                <w:rFonts w:cs="Arial" w:ascii="Arial" w:hAnsi="Arial"/>
                <w:b/>
                <w:bCs/>
                <w:szCs w:val="24"/>
              </w:rPr>
              <w:t xml:space="preserve">ir </w:t>
            </w:r>
            <w:r>
              <w:rPr>
                <w:rFonts w:cs="Arial" w:ascii="Arial" w:hAnsi="Arial"/>
                <w:b/>
                <w:szCs w:val="24"/>
              </w:rPr>
              <w:t>tikrinimo tvarka</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color w:val="000000"/>
                <w:kern w:val="2"/>
                <w:szCs w:val="24"/>
              </w:rPr>
            </w:pPr>
            <w:r>
              <w:rPr>
                <w:rFonts w:cs="Arial" w:ascii="Arial" w:hAnsi="Arial"/>
                <w:color w:val="000000"/>
                <w:kern w:val="2"/>
                <w:szCs w:val="24"/>
              </w:rPr>
              <w:t>Netaikoma.</w:t>
            </w:r>
          </w:p>
          <w:p>
            <w:pPr>
              <w:pStyle w:val="Normal"/>
              <w:jc w:val="both"/>
              <w:rPr>
                <w:rFonts w:ascii="Arial" w:hAnsi="Arial" w:cs="Arial"/>
                <w:color w:val="000000"/>
              </w:rPr>
            </w:pPr>
            <w:r>
              <w:rPr>
                <w:rFonts w:cs="Arial" w:ascii="Arial" w:hAnsi="Arial"/>
                <w:color w:val="000000"/>
              </w:rPr>
            </w:r>
          </w:p>
        </w:tc>
      </w:tr>
      <w:tr>
        <w:trPr>
          <w:trHeight w:val="300" w:hRule="atLeast"/>
        </w:trPr>
        <w:tc>
          <w:tcPr>
            <w:tcW w:w="10097"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7. SUTARTIES VYKDYMUI PASITELKIAMI SUBTIEKĖJAI IR (AR) SPECIALISTAI</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Cs w:val="24"/>
              </w:rPr>
            </w:pPr>
            <w:r>
              <w:rPr>
                <w:rFonts w:cs="Arial" w:ascii="Arial" w:hAnsi="Arial"/>
                <w:b/>
                <w:bCs/>
                <w:kern w:val="2"/>
                <w:szCs w:val="24"/>
              </w:rPr>
              <w:t>7.1. Sutarties vykdymui pasitelkiami subtiekėjai ir (ar) specialistai</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Sutarties vykdymui subtiekėjai ir (ar) specialistai nepasitelkiami.</w:t>
            </w:r>
          </w:p>
          <w:p>
            <w:pPr>
              <w:pStyle w:val="Normal"/>
              <w:jc w:val="both"/>
              <w:rPr>
                <w:rFonts w:ascii="Arial" w:hAnsi="Arial" w:cs="Arial"/>
                <w:kern w:val="2"/>
                <w:szCs w:val="24"/>
              </w:rPr>
            </w:pPr>
            <w:r>
              <w:rPr>
                <w:rFonts w:cs="Arial" w:ascii="Arial" w:hAnsi="Arial"/>
                <w:kern w:val="2"/>
                <w:szCs w:val="24"/>
              </w:rPr>
            </w:r>
          </w:p>
          <w:p>
            <w:pPr>
              <w:pStyle w:val="Normal"/>
              <w:jc w:val="both"/>
              <w:rPr>
                <w:rFonts w:ascii="Arial" w:hAnsi="Arial" w:cs="Arial"/>
                <w:color w:val="FF0000"/>
                <w:kern w:val="2"/>
                <w:szCs w:val="24"/>
              </w:rPr>
            </w:pPr>
            <w:r>
              <w:rPr>
                <w:rFonts w:cs="Arial" w:ascii="Arial" w:hAnsi="Arial"/>
                <w:color w:val="FF0000"/>
                <w:kern w:val="2"/>
                <w:szCs w:val="24"/>
              </w:rPr>
              <w:t>arba</w:t>
            </w:r>
          </w:p>
          <w:p>
            <w:pPr>
              <w:pStyle w:val="Normal"/>
              <w:jc w:val="both"/>
              <w:rPr>
                <w:rFonts w:ascii="Arial" w:hAnsi="Arial" w:cs="Arial"/>
                <w:kern w:val="2"/>
                <w:szCs w:val="24"/>
              </w:rPr>
            </w:pPr>
            <w:r>
              <w:rPr>
                <w:rFonts w:cs="Arial" w:ascii="Arial" w:hAnsi="Arial"/>
                <w:kern w:val="2"/>
                <w:szCs w:val="24"/>
              </w:rPr>
            </w:r>
          </w:p>
          <w:p>
            <w:pPr>
              <w:pStyle w:val="Normal"/>
              <w:jc w:val="both"/>
              <w:rPr>
                <w:rFonts w:ascii="Arial" w:hAnsi="Arial" w:cs="Arial"/>
                <w:b/>
                <w:kern w:val="2"/>
                <w:szCs w:val="24"/>
              </w:rPr>
            </w:pPr>
            <w:r>
              <w:rPr>
                <w:rFonts w:cs="Arial" w:ascii="Arial" w:hAnsi="Arial"/>
                <w:kern w:val="2"/>
                <w:szCs w:val="24"/>
              </w:rPr>
              <w:t xml:space="preserve">Sutarties vykdymui pasitelkiami subtiekėjai ir (ar) specialistai yra nurodyti Sutarties priede Nr. </w:t>
            </w:r>
            <w:r>
              <w:rPr>
                <w:rFonts w:cs="Arial" w:ascii="Arial" w:hAnsi="Arial"/>
                <w:kern w:val="2"/>
                <w:szCs w:val="24"/>
                <w:highlight w:val="yellow"/>
              </w:rPr>
              <w:t>[...]</w:t>
            </w:r>
            <w:r>
              <w:rPr>
                <w:rFonts w:cs="Arial" w:ascii="Arial" w:hAnsi="Arial"/>
                <w:kern w:val="2"/>
                <w:szCs w:val="24"/>
              </w:rPr>
              <w:t xml:space="preserve"> „Sutarties vykdymui pasitelkiami subtiekėjai ir (ar) specialistai“</w:t>
            </w:r>
          </w:p>
        </w:tc>
      </w:tr>
      <w:tr>
        <w:trPr>
          <w:trHeight w:val="300" w:hRule="atLeast"/>
        </w:trPr>
        <w:tc>
          <w:tcPr>
            <w:tcW w:w="10097"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8. PRIEVOLIŲ PAGAL SUTARTĮ ĮVYKDYMO UŽTIKRINIMAS</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8.1. Prievolių pagal Sutartį įvykdymo užtikrinimas</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Prievolių pagal Sutartį įvykdymas užtikrinamas:</w:t>
            </w:r>
          </w:p>
          <w:p>
            <w:pPr>
              <w:pStyle w:val="Normal"/>
              <w:rPr>
                <w:rFonts w:ascii="Arial" w:hAnsi="Arial" w:cs="Arial"/>
                <w:kern w:val="2"/>
                <w:szCs w:val="24"/>
              </w:rPr>
            </w:pPr>
            <w:r>
              <w:rPr>
                <w:rFonts w:cs="Arial" w:ascii="Arial" w:hAnsi="Arial"/>
                <w:kern w:val="2"/>
                <w:szCs w:val="24"/>
              </w:rPr>
              <w:t>Netesybomis (delspinigiais) ;</w:t>
            </w:r>
          </w:p>
          <w:p>
            <w:pPr>
              <w:pStyle w:val="ListParagraph"/>
              <w:ind w:left="0"/>
              <w:jc w:val="both"/>
              <w:rPr>
                <w:rFonts w:ascii="Arial" w:hAnsi="Arial" w:cs="Arial"/>
                <w:color w:val="000000"/>
              </w:rPr>
            </w:pPr>
            <w:r>
              <w:rPr/>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8.2 Sutarties įvykdymo užtikrinimo galiojimo terminas</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highlight w:val="none"/>
                <w:shd w:fill="auto" w:val="clear"/>
              </w:rPr>
            </w:pPr>
            <w:r>
              <w:rPr>
                <w:rFonts w:cs="Arial" w:ascii="Arial" w:hAnsi="Arial"/>
                <w:bCs/>
                <w:kern w:val="2"/>
                <w:szCs w:val="24"/>
                <w:shd w:fill="auto" w:val="clear"/>
              </w:rPr>
              <w:t>Netaikoma</w:t>
            </w:r>
          </w:p>
          <w:p>
            <w:pPr>
              <w:pStyle w:val="Normal"/>
              <w:rPr>
                <w:rFonts w:ascii="Arial" w:hAnsi="Arial" w:cs="Arial"/>
                <w:kern w:val="2"/>
                <w:szCs w:val="24"/>
                <w:highlight w:val="none"/>
                <w:shd w:fill="auto" w:val="clear"/>
              </w:rPr>
            </w:pPr>
            <w:r>
              <w:rPr>
                <w:rFonts w:cs="Arial" w:ascii="Arial" w:hAnsi="Arial"/>
                <w:kern w:val="2"/>
                <w:szCs w:val="24"/>
                <w:shd w:fill="auto" w:val="clear"/>
              </w:rPr>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8.3. Sutarties įvykdymo užtikrinimo pateikimas</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color w:val="000000"/>
                <w:kern w:val="2"/>
                <w:szCs w:val="24"/>
                <w:highlight w:val="none"/>
                <w:shd w:fill="auto" w:val="clear"/>
              </w:rPr>
            </w:pPr>
            <w:r>
              <w:rPr>
                <w:rFonts w:cs="Arial" w:ascii="Arial" w:hAnsi="Arial"/>
                <w:color w:val="000000"/>
                <w:kern w:val="2"/>
                <w:szCs w:val="24"/>
                <w:shd w:fill="auto" w:val="clear"/>
              </w:rPr>
              <w:t>Netaikoma</w:t>
            </w:r>
          </w:p>
          <w:p>
            <w:pPr>
              <w:pStyle w:val="Normal"/>
              <w:jc w:val="both"/>
              <w:rPr>
                <w:rFonts w:ascii="Arial" w:hAnsi="Arial" w:cs="Arial"/>
                <w:szCs w:val="24"/>
                <w:highlight w:val="yellow"/>
              </w:rPr>
            </w:pPr>
            <w:r>
              <w:rPr>
                <w:rFonts w:cs="Arial" w:ascii="Arial" w:hAnsi="Arial"/>
                <w:szCs w:val="24"/>
                <w:highlight w:val="yellow"/>
              </w:rPr>
            </w:r>
          </w:p>
        </w:tc>
      </w:tr>
      <w:tr>
        <w:trPr>
          <w:trHeight w:val="300" w:hRule="atLeast"/>
        </w:trPr>
        <w:tc>
          <w:tcPr>
            <w:tcW w:w="10097"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9. ŠALIŲ ATSAKOMYBĖ</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9.1. Pirkėjui taikomos netesybos už mokėjimų pagal Sutartį vėlavimą</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color w:val="FF0000"/>
                <w:kern w:val="2"/>
                <w:szCs w:val="24"/>
              </w:rPr>
            </w:pPr>
            <w:r>
              <w:rPr>
                <w:rFonts w:cs="Arial" w:ascii="Arial" w:hAnsi="Arial"/>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0,2 (dvi dešimtosios) procento dydžio delspinigius nuo neapmokėtos sumos be PVM už kiekvieną vėlavimo dieną</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szCs w:val="24"/>
              </w:rPr>
              <w:t>9.2. Tiekėjui taikomos netesybos</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color w:val="000000"/>
                <w:kern w:val="2"/>
                <w:szCs w:val="24"/>
              </w:rPr>
            </w:pPr>
            <w:r>
              <w:rPr>
                <w:rFonts w:cs="Arial" w:ascii="Arial" w:hAnsi="Arial"/>
                <w:color w:val="000000"/>
                <w:kern w:val="2"/>
                <w:szCs w:val="24"/>
              </w:rPr>
              <w:t>9.2.1. Jeigu Tiekėjas vėluoja suteikti Paslaugas arba nevykdo kitų sutartinių įsipareigojimų, Pirkėjas nuo kitos nei nustatytas terminas dienos Tiekėjui skaičiuoja 0,2 (dvi dešimtosios) procento dydžio delspinigius už kiekvieną uždelstą dieną nuo laiku nesuteiktų Paslaugų ar kitų sutartinių įsipareigojimų nevykdymo kainos be PVM.</w:t>
            </w:r>
          </w:p>
          <w:p>
            <w:pPr>
              <w:pStyle w:val="Normal"/>
              <w:jc w:val="both"/>
              <w:rPr>
                <w:rFonts w:ascii="Arial" w:hAnsi="Arial" w:cs="Arial"/>
                <w:color w:val="000000"/>
                <w:kern w:val="2"/>
                <w:szCs w:val="24"/>
              </w:rPr>
            </w:pPr>
            <w:r>
              <w:rPr>
                <w:rFonts w:cs="Arial" w:ascii="Arial" w:hAnsi="Arial"/>
                <w:color w:val="000000"/>
                <w:kern w:val="2"/>
                <w:szCs w:val="24"/>
              </w:rPr>
            </w:r>
          </w:p>
          <w:p>
            <w:pPr>
              <w:pStyle w:val="Normal"/>
              <w:jc w:val="both"/>
              <w:rPr>
                <w:rFonts w:ascii="Arial" w:hAnsi="Arial" w:cs="Arial"/>
              </w:rPr>
            </w:pPr>
            <w:r>
              <w:rPr>
                <w:rFonts w:cs="Arial" w:ascii="Arial" w:hAnsi="Arial"/>
                <w:color w:val="000000"/>
                <w:kern w:val="2"/>
                <w:szCs w:val="24"/>
              </w:rPr>
              <w:t>9.2.2. Tiekėjas privalo sumokėti Pirkėjui netesybas per 30 dienų nuo Pirkėjo pareikalavimo, jeigu netesybų suma nėra išskaitoma iš Tiekėjui mokėtinos sumos.</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9.3. Tiekėjui / Pirkėjui taikoma bauda nutraukus Sutartį dėl esminio Sutarties pažeidimo ar nepagrįstai nutraukus Sutarties vykdymą ne Sutartyje nustatyta tvarka</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Cs w:val="24"/>
              </w:rPr>
            </w:pPr>
            <w:r>
              <w:rPr>
                <w:rFonts w:cs="Arial" w:ascii="Arial" w:hAnsi="Arial"/>
                <w:kern w:val="2"/>
                <w:szCs w:val="24"/>
              </w:rPr>
              <w:t>9.3.1. Nutraukus Sutartį dėl esminio Sutarties pažeidimo, nustatyto Sutarties Specialiosiose sąlygose, mokama 5 procentų dydžio bauda nuo Pradinės Sutarties vertės, nurodytos Specialiųjų sąlygų 5.2 punkte.</w:t>
            </w:r>
          </w:p>
          <w:p>
            <w:pPr>
              <w:pStyle w:val="Normal"/>
              <w:jc w:val="both"/>
              <w:rPr>
                <w:rFonts w:ascii="Arial" w:hAnsi="Arial" w:cs="Arial"/>
                <w:kern w:val="2"/>
                <w:szCs w:val="24"/>
              </w:rPr>
            </w:pPr>
            <w:r>
              <w:rPr>
                <w:rFonts w:cs="Arial" w:ascii="Arial" w:hAnsi="Arial"/>
                <w:kern w:val="2"/>
                <w:szCs w:val="24"/>
              </w:rPr>
            </w:r>
          </w:p>
          <w:p>
            <w:pPr>
              <w:pStyle w:val="Normal"/>
              <w:jc w:val="both"/>
              <w:rPr>
                <w:rFonts w:ascii="Arial" w:hAnsi="Arial" w:cs="Arial"/>
                <w:color w:val="000000"/>
              </w:rPr>
            </w:pPr>
            <w:r>
              <w:rPr>
                <w:rFonts w:cs="Arial" w:ascii="Arial" w:hAnsi="Arial"/>
                <w:color w:val="000000"/>
                <w:kern w:val="2"/>
                <w:szCs w:val="24"/>
              </w:rPr>
              <w:t>9.3.2. Nepagrįstai nutraukus Sutarties vykdymą ne Sutartyje nustatyta tvarka, mokama 5 procentų dydžio bauda nuo Pradinės Sutarties vertės, nurodytos Specialiųjų sąlygų 5.2 punkte.</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9.4. Tiekėjui taikoma bauda dėl esamų subtiekėjų ar specialistų pakeitimo / naujų subtiekėjų pasitelkimo nesilaikant Bendrosiose sąlygose nurodytos subtiekėjų ir (ar) specialistų keitimo tvarkos</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color w:val="000000"/>
              </w:rPr>
            </w:pPr>
            <w:r>
              <w:rPr>
                <w:rFonts w:cs="Arial" w:ascii="Arial" w:hAnsi="Arial"/>
                <w:color w:val="000000"/>
                <w:kern w:val="2"/>
                <w:szCs w:val="24"/>
              </w:rPr>
              <w:t>500 Eur (penki šimtai Eur) taikoma už kiekvieną pažeidimo atvejį.</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9.5. Tiekėjui taikomos baudos dėl aplinkosauginių ir (arba) socialinių kriterijų nesilaikymo</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000000"/>
                <w:kern w:val="2"/>
                <w:szCs w:val="24"/>
              </w:rPr>
            </w:pPr>
            <w:r>
              <w:rPr>
                <w:rFonts w:cs="Arial" w:ascii="Arial" w:hAnsi="Arial"/>
                <w:color w:val="000000"/>
                <w:kern w:val="2"/>
                <w:szCs w:val="24"/>
              </w:rPr>
              <w:t>Netaikoma</w:t>
            </w:r>
          </w:p>
          <w:p>
            <w:pPr>
              <w:pStyle w:val="Normal"/>
              <w:rPr>
                <w:rFonts w:ascii="Arial" w:hAnsi="Arial" w:cs="Arial"/>
                <w:kern w:val="2"/>
                <w:szCs w:val="24"/>
              </w:rPr>
            </w:pPr>
            <w:r>
              <w:rPr>
                <w:rFonts w:cs="Arial" w:ascii="Arial" w:hAnsi="Arial"/>
                <w:kern w:val="2"/>
                <w:szCs w:val="24"/>
              </w:rPr>
            </w:r>
          </w:p>
          <w:p>
            <w:pPr>
              <w:pStyle w:val="Normal"/>
              <w:rPr>
                <w:rFonts w:ascii="Arial" w:hAnsi="Arial" w:cs="Arial"/>
                <w:color w:val="FF0000"/>
                <w:kern w:val="2"/>
                <w:szCs w:val="24"/>
              </w:rPr>
            </w:pPr>
            <w:r>
              <w:rPr>
                <w:rFonts w:cs="Arial" w:ascii="Arial" w:hAnsi="Arial"/>
                <w:color w:val="FF0000"/>
                <w:kern w:val="2"/>
                <w:szCs w:val="24"/>
              </w:rPr>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9.6. Tiekėjui / Pirkėjui taikoma bauda dėl konfidencialumo reikalavimų nesilaikymo</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Netaikoma</w:t>
            </w:r>
          </w:p>
          <w:p>
            <w:pPr>
              <w:pStyle w:val="Normal"/>
              <w:rPr>
                <w:rFonts w:ascii="Arial" w:hAnsi="Arial" w:cs="Arial"/>
                <w:kern w:val="2"/>
                <w:szCs w:val="24"/>
              </w:rPr>
            </w:pPr>
            <w:r>
              <w:rPr>
                <w:rFonts w:cs="Arial" w:ascii="Arial" w:hAnsi="Arial"/>
                <w:kern w:val="2"/>
                <w:szCs w:val="24"/>
              </w:rPr>
            </w:r>
          </w:p>
          <w:p>
            <w:pPr>
              <w:pStyle w:val="Normal"/>
              <w:rPr>
                <w:rFonts w:ascii="Arial" w:hAnsi="Arial" w:cs="Arial"/>
                <w:color w:val="FF0000"/>
                <w:kern w:val="2"/>
                <w:szCs w:val="24"/>
              </w:rPr>
            </w:pPr>
            <w:r>
              <w:rPr>
                <w:rFonts w:cs="Arial" w:ascii="Arial" w:hAnsi="Arial"/>
                <w:color w:val="FF0000"/>
                <w:kern w:val="2"/>
                <w:szCs w:val="24"/>
              </w:rPr>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9.7. Tiekėjui taikomos netesybos dėl pirkimo dokumentuose nustatytų Kokybinių kriterijų nepasiekimo Sutarties vykdymo metu</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000000"/>
                <w:szCs w:val="24"/>
              </w:rPr>
            </w:pPr>
            <w:r>
              <w:rPr>
                <w:rFonts w:cs="Arial" w:ascii="Arial" w:hAnsi="Arial"/>
                <w:color w:val="000000"/>
                <w:szCs w:val="24"/>
              </w:rPr>
              <w:t>Netaikoma</w:t>
            </w:r>
          </w:p>
          <w:p>
            <w:pPr>
              <w:pStyle w:val="Normal"/>
              <w:rPr>
                <w:rFonts w:ascii="Arial" w:hAnsi="Arial" w:cs="Arial"/>
                <w:color w:val="FF0000"/>
                <w:kern w:val="2"/>
                <w:szCs w:val="24"/>
              </w:rPr>
            </w:pPr>
            <w:r>
              <w:rPr>
                <w:rFonts w:cs="Arial" w:ascii="Arial" w:hAnsi="Arial"/>
                <w:color w:val="FF0000"/>
                <w:kern w:val="2"/>
                <w:szCs w:val="24"/>
              </w:rPr>
            </w:r>
          </w:p>
        </w:tc>
      </w:tr>
      <w:tr>
        <w:trPr>
          <w:trHeight w:val="917"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 xml:space="preserve">9.8. Tiekėjui taikomos netesybos dėl Sutarties įvykdymo užtikrinimo </w:t>
            </w:r>
            <w:r>
              <w:rPr>
                <w:rFonts w:cs="Arial" w:ascii="Arial" w:hAnsi="Arial"/>
                <w:b/>
                <w:bCs/>
                <w:szCs w:val="24"/>
              </w:rPr>
              <w:t>nepratęsimo</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rPr>
                <w:highlight w:val="none"/>
                <w:shd w:fill="auto" w:val="clear"/>
              </w:rPr>
            </w:pPr>
            <w:r>
              <w:rPr>
                <w:rFonts w:cs="Arial" w:ascii="Arial" w:hAnsi="Arial"/>
                <w:kern w:val="2"/>
                <w:szCs w:val="24"/>
                <w:shd w:fill="auto" w:val="clear"/>
              </w:rPr>
              <w:t>Netaikoma</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Cs w:val="24"/>
              </w:rPr>
            </w:pPr>
            <w:r>
              <w:rPr>
                <w:rFonts w:cs="Arial" w:ascii="Arial" w:hAnsi="Arial"/>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000000"/>
                <w:szCs w:val="24"/>
              </w:rPr>
            </w:pPr>
            <w:r>
              <w:rPr>
                <w:rFonts w:cs="Arial" w:ascii="Arial" w:hAnsi="Arial"/>
                <w:color w:val="000000"/>
                <w:kern w:val="2"/>
                <w:szCs w:val="24"/>
              </w:rPr>
              <w:t>Netaikoma</w:t>
            </w:r>
          </w:p>
          <w:p>
            <w:pPr>
              <w:pStyle w:val="Normal"/>
              <w:rPr>
                <w:rFonts w:ascii="Arial" w:hAnsi="Arial" w:cs="Arial"/>
                <w:color w:val="4472C4"/>
                <w:kern w:val="2"/>
                <w:szCs w:val="24"/>
              </w:rPr>
            </w:pPr>
            <w:r>
              <w:rPr>
                <w:rFonts w:cs="Arial" w:ascii="Arial" w:hAnsi="Arial"/>
                <w:color w:val="4472C4"/>
                <w:kern w:val="2"/>
                <w:szCs w:val="24"/>
              </w:rPr>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9.9. Kitos netesybos</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000000"/>
              </w:rPr>
            </w:pPr>
            <w:r>
              <w:rPr>
                <w:rFonts w:cs="Arial" w:ascii="Arial" w:hAnsi="Arial"/>
                <w:color w:val="000000"/>
                <w:kern w:val="2"/>
                <w:szCs w:val="24"/>
              </w:rPr>
              <w:t>Netaikoma</w:t>
            </w:r>
          </w:p>
        </w:tc>
      </w:tr>
      <w:tr>
        <w:trPr>
          <w:trHeight w:val="300" w:hRule="atLeast"/>
        </w:trPr>
        <w:tc>
          <w:tcPr>
            <w:tcW w:w="10097"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olor w:val="4472C4"/>
                <w:kern w:val="2"/>
                <w:szCs w:val="24"/>
              </w:rPr>
            </w:pPr>
            <w:r>
              <w:rPr>
                <w:rFonts w:cs="Arial" w:ascii="Arial" w:hAnsi="Arial"/>
                <w:b/>
                <w:kern w:val="2"/>
                <w:szCs w:val="24"/>
              </w:rPr>
              <w:t>10. ESMINĖS SUTARTIES SĄLYGOS</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10.1. Esminės Sutarties sąlygos</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tabs>
                <w:tab w:val="clear" w:pos="1296"/>
                <w:tab w:val="left" w:pos="5046" w:leader="none"/>
              </w:tabs>
              <w:jc w:val="both"/>
              <w:rPr>
                <w:highlight w:val="none"/>
                <w:shd w:fill="auto" w:val="clear"/>
              </w:rPr>
            </w:pPr>
            <w:r>
              <w:rPr>
                <w:rFonts w:cs="Arial" w:ascii="Arial" w:hAnsi="Arial"/>
                <w:kern w:val="2"/>
                <w:szCs w:val="24"/>
                <w:shd w:fill="auto" w:val="clear"/>
              </w:rPr>
              <w:t>Esminėmis laikomos šios Sutarties sąlygos: Paslaugų suteikimas laikantis darbų atlikimo grafike nurodytų terminų.</w:t>
            </w:r>
          </w:p>
        </w:tc>
      </w:tr>
      <w:tr>
        <w:trPr>
          <w:trHeight w:val="300" w:hRule="atLeast"/>
        </w:trPr>
        <w:tc>
          <w:tcPr>
            <w:tcW w:w="3094" w:type="dxa"/>
            <w:gridSpan w:val="2"/>
            <w:tcBorders>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bCs/>
              </w:rPr>
              <w:t>10.2. Dideli arba nuolatiniai esminės Sutarties sąlygos vykdymo trūkumai</w:t>
            </w:r>
          </w:p>
        </w:tc>
        <w:tc>
          <w:tcPr>
            <w:tcW w:w="7003" w:type="dxa"/>
            <w:gridSpan w:val="2"/>
            <w:tcBorders>
              <w:left w:val="single" w:sz="4" w:space="0" w:color="000000"/>
              <w:bottom w:val="single" w:sz="4" w:space="0" w:color="000000"/>
              <w:right w:val="single" w:sz="4" w:space="0" w:color="000000"/>
            </w:tcBorders>
          </w:tcPr>
          <w:p>
            <w:pPr>
              <w:pStyle w:val="Normal"/>
              <w:jc w:val="both"/>
              <w:rPr>
                <w:rFonts w:ascii="Arial" w:hAnsi="Arial" w:cs="Arial"/>
                <w:color w:val="000000"/>
              </w:rPr>
            </w:pPr>
            <w:r>
              <w:rPr>
                <w:rFonts w:cs="Arial" w:ascii="Arial" w:hAnsi="Arial"/>
                <w:color w:val="000000"/>
              </w:rPr>
              <w:t>Dideliu ar nuolatiniu esminės Sutarties sąlygos vykdymo trūkumu laikomas Tiekėjo uždelsimas, trunkantis ilgiau nei 1 mėn. suteikti Paslaugas iki darbų atlikimo grafike nustatyto termino.</w:t>
            </w:r>
          </w:p>
          <w:p>
            <w:pPr>
              <w:pStyle w:val="Normal"/>
              <w:jc w:val="both"/>
              <w:rPr>
                <w:rFonts w:ascii="Arial" w:hAnsi="Arial" w:cs="Arial"/>
                <w:color w:val="000000"/>
              </w:rPr>
            </w:pPr>
            <w:r>
              <w:rPr>
                <w:rFonts w:cs="Arial" w:ascii="Arial" w:hAnsi="Arial"/>
                <w:color w:val="000000"/>
              </w:rPr>
            </w:r>
          </w:p>
          <w:p>
            <w:pPr>
              <w:pStyle w:val="Normal"/>
              <w:jc w:val="both"/>
              <w:rPr>
                <w:rFonts w:ascii="Arial" w:hAnsi="Arial" w:cs="Arial"/>
                <w:kern w:val="2"/>
                <w:szCs w:val="24"/>
              </w:rPr>
            </w:pPr>
            <w:r>
              <w:rPr>
                <w:rFonts w:cs="Arial" w:ascii="Arial" w:hAnsi="Arial"/>
                <w:kern w:val="2"/>
                <w:szCs w:val="24"/>
              </w:rPr>
            </w:r>
          </w:p>
        </w:tc>
      </w:tr>
      <w:tr>
        <w:trPr>
          <w:trHeight w:val="300" w:hRule="atLeast"/>
        </w:trPr>
        <w:tc>
          <w:tcPr>
            <w:tcW w:w="10097"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11. SUTARTIES GALIOJIMAS IR KEITIMAS</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szCs w:val="24"/>
              </w:rPr>
              <w:t>11.1. Sutarties sudarymas ir įsigaliojimas</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Ši Sutartis laikoma sudaryta ir įsigalioja nuo Sutarties pasirašymo dienos (antrosios Šalies pasirašymo dieną).</w:t>
            </w:r>
          </w:p>
          <w:p>
            <w:pPr>
              <w:pStyle w:val="Normal"/>
              <w:jc w:val="both"/>
              <w:rPr>
                <w:rFonts w:ascii="Arial" w:hAnsi="Arial" w:cs="Arial"/>
                <w:color w:val="FF0000"/>
                <w:kern w:val="2"/>
                <w:szCs w:val="24"/>
              </w:rPr>
            </w:pPr>
            <w:r>
              <w:rPr>
                <w:rFonts w:cs="Arial" w:ascii="Arial" w:hAnsi="Arial"/>
                <w:color w:val="000000"/>
                <w:kern w:val="2"/>
                <w:szCs w:val="24"/>
              </w:rPr>
              <w:t>Sutartis galioja iki visiško prievolių įvykdymo (kol bus išnaudota Pradinės Sutarties vertė, bet jos terminas negali būti ilgesnis kaip 19 mėn. (atsižvelgus į Paslaugų priėmimo ir apmokėjimo už Paslaugas terminus).</w:t>
            </w:r>
          </w:p>
        </w:tc>
      </w:tr>
      <w:tr>
        <w:trPr>
          <w:trHeight w:val="300" w:hRule="atLeast"/>
        </w:trPr>
        <w:tc>
          <w:tcPr>
            <w:tcW w:w="3094"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11.2. Sutarties galiojimo termino pratęsimas</w:t>
            </w:r>
          </w:p>
        </w:tc>
        <w:tc>
          <w:tcPr>
            <w:tcW w:w="7003" w:type="dxa"/>
            <w:gridSpan w:val="2"/>
            <w:tcBorders>
              <w:top w:val="single" w:sz="4" w:space="0" w:color="000000"/>
              <w:left w:val="single" w:sz="4" w:space="0" w:color="000000"/>
              <w:bottom w:val="single" w:sz="4" w:space="0" w:color="000000"/>
              <w:right w:val="single" w:sz="4" w:space="0" w:color="000000"/>
            </w:tcBorders>
          </w:tcPr>
          <w:p>
            <w:pPr>
              <w:pStyle w:val="Normal"/>
              <w:jc w:val="both"/>
              <w:rPr>
                <w:highlight w:val="none"/>
                <w:shd w:fill="auto" w:val="clear"/>
              </w:rPr>
            </w:pPr>
            <w:r>
              <w:rPr>
                <w:rFonts w:cs="Arial" w:ascii="Arial" w:hAnsi="Arial"/>
                <w:kern w:val="2"/>
                <w:szCs w:val="24"/>
                <w:shd w:fill="auto" w:val="clear"/>
              </w:rPr>
              <w:t xml:space="preserve">Šalių abipusiu rašytiniu Susitarimu Sutartis tomis pačiomis sąlygomis </w:t>
            </w:r>
            <w:r>
              <w:rPr>
                <w:rFonts w:cs="Arial" w:ascii="Arial" w:hAnsi="Arial"/>
                <w:color w:val="000000"/>
                <w:szCs w:val="24"/>
                <w:shd w:fill="auto" w:val="clear"/>
              </w:rPr>
              <w:t xml:space="preserve">nedidinant Sutarties kainos </w:t>
            </w:r>
            <w:r>
              <w:rPr>
                <w:rFonts w:cs="Arial" w:ascii="Arial" w:hAnsi="Arial"/>
                <w:color w:val="000000"/>
                <w:kern w:val="2"/>
                <w:szCs w:val="24"/>
                <w:shd w:fill="auto" w:val="clear"/>
              </w:rPr>
              <w:t xml:space="preserve">gali būti pratęsta 1 (vieną) kartą </w:t>
            </w:r>
            <w:r>
              <w:rPr>
                <w:rFonts w:cs="Arial" w:ascii="Arial" w:hAnsi="Arial"/>
                <w:color w:val="000000"/>
                <w:kern w:val="2"/>
                <w:szCs w:val="24"/>
                <w:shd w:fill="auto" w:val="clear"/>
              </w:rPr>
              <w:t>3</w:t>
            </w:r>
            <w:r>
              <w:rPr>
                <w:rFonts w:cs="Arial" w:ascii="Arial" w:hAnsi="Arial"/>
                <w:color w:val="000000"/>
                <w:kern w:val="2"/>
                <w:szCs w:val="24"/>
                <w:shd w:fill="auto" w:val="clear"/>
              </w:rPr>
              <w:t xml:space="preserve"> (</w:t>
            </w:r>
            <w:r>
              <w:rPr>
                <w:rFonts w:cs="Arial" w:ascii="Arial" w:hAnsi="Arial"/>
                <w:color w:val="000000"/>
                <w:kern w:val="2"/>
                <w:szCs w:val="24"/>
                <w:shd w:fill="auto" w:val="clear"/>
              </w:rPr>
              <w:t>trims)</w:t>
            </w:r>
            <w:r>
              <w:rPr>
                <w:rFonts w:cs="Arial" w:ascii="Arial" w:hAnsi="Arial"/>
                <w:color w:val="000000"/>
                <w:kern w:val="2"/>
                <w:szCs w:val="24"/>
                <w:shd w:fill="auto" w:val="clear"/>
              </w:rPr>
              <w:t xml:space="preserve"> mėnesi</w:t>
            </w:r>
            <w:r>
              <w:rPr>
                <w:rFonts w:cs="Arial" w:ascii="Arial" w:hAnsi="Arial"/>
                <w:color w:val="000000"/>
                <w:kern w:val="2"/>
                <w:szCs w:val="24"/>
                <w:shd w:fill="auto" w:val="clear"/>
              </w:rPr>
              <w:t>ams</w:t>
            </w:r>
            <w:r>
              <w:rPr>
                <w:rFonts w:cs="Arial" w:ascii="Arial" w:hAnsi="Arial"/>
                <w:color w:val="000000"/>
                <w:kern w:val="2"/>
                <w:szCs w:val="24"/>
                <w:shd w:fill="auto" w:val="clear"/>
              </w:rPr>
              <w:t>, jeigu yra iškilęs poreikis ir esant šiai (šioms) aplinkybėms:</w:t>
            </w:r>
          </w:p>
          <w:p>
            <w:pPr>
              <w:pStyle w:val="Normal"/>
              <w:jc w:val="both"/>
              <w:rPr>
                <w:highlight w:val="none"/>
                <w:shd w:fill="auto" w:val="clear"/>
              </w:rPr>
            </w:pPr>
            <w:r>
              <w:rPr>
                <w:rFonts w:eastAsia="Calibri" w:cs="Arial" w:ascii="Arial" w:hAnsi="Arial"/>
                <w:color w:val="000000"/>
                <w:szCs w:val="24"/>
                <w:shd w:fill="auto" w:val="clear"/>
              </w:rPr>
              <w:t>11.2.1. Paslaugos teikiamos be trūkumų;</w:t>
            </w:r>
          </w:p>
          <w:p>
            <w:pPr>
              <w:pStyle w:val="Normal"/>
              <w:jc w:val="both"/>
              <w:rPr>
                <w:highlight w:val="none"/>
                <w:shd w:fill="auto" w:val="clear"/>
              </w:rPr>
            </w:pPr>
            <w:r>
              <w:rPr>
                <w:rFonts w:eastAsia="Calibri" w:cs="Arial" w:ascii="Arial" w:hAnsi="Arial"/>
                <w:color w:val="000000"/>
                <w:kern w:val="2"/>
                <w:szCs w:val="24"/>
                <w:shd w:fill="auto" w:val="clear"/>
              </w:rPr>
              <w:t>11.2.2. Tiekėjas visą Sutarties vykdymo laikotarpį laikėsi Tiekėjo pasiūlyme nurodytų įsipareigojimų dėl kokybinių kriterijų.</w:t>
            </w:r>
          </w:p>
        </w:tc>
      </w:tr>
      <w:tr>
        <w:trPr>
          <w:trHeight w:val="300" w:hRule="atLeast"/>
        </w:trPr>
        <w:tc>
          <w:tcPr>
            <w:tcW w:w="10097"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12. SUTARTIES NUTRAUKIMAS</w:t>
            </w:r>
          </w:p>
        </w:tc>
      </w:tr>
      <w:tr>
        <w:trPr>
          <w:trHeight w:val="300" w:hRule="atLeast"/>
        </w:trPr>
        <w:tc>
          <w:tcPr>
            <w:tcW w:w="307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12.1. Sutarties nutraukimo pagrindai</w:t>
            </w:r>
          </w:p>
        </w:tc>
        <w:tc>
          <w:tcPr>
            <w:tcW w:w="7020"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color w:val="FF0000"/>
                <w:kern w:val="2"/>
                <w:szCs w:val="24"/>
              </w:rPr>
            </w:pPr>
            <w:r>
              <w:rPr>
                <w:rFonts w:cs="Arial" w:ascii="Arial" w:hAnsi="Arial"/>
                <w:kern w:val="2"/>
                <w:szCs w:val="24"/>
              </w:rPr>
              <w:t>Sutartis gali būti nutraukiama rašytiniu Šalių susitarimu arba vienašališkai, Bendrosiose sąlygose nustatyta tvarka.</w:t>
            </w:r>
          </w:p>
        </w:tc>
      </w:tr>
      <w:tr>
        <w:trPr>
          <w:trHeight w:val="300" w:hRule="atLeast"/>
        </w:trPr>
        <w:tc>
          <w:tcPr>
            <w:tcW w:w="307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 xml:space="preserve">12.2. Esminiai Sutarties </w:t>
            </w:r>
            <w:r>
              <w:rPr>
                <w:rFonts w:cs="Arial" w:ascii="Arial" w:hAnsi="Arial"/>
                <w:b/>
                <w:szCs w:val="24"/>
              </w:rPr>
              <w:t>pažeidimai</w:t>
            </w:r>
          </w:p>
        </w:tc>
        <w:tc>
          <w:tcPr>
            <w:tcW w:w="7020"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color w:val="000000"/>
              </w:rPr>
            </w:pPr>
            <w:r>
              <w:rPr>
                <w:rFonts w:cs="Arial" w:ascii="Arial" w:hAnsi="Arial"/>
                <w:color w:val="000000"/>
                <w:kern w:val="2"/>
                <w:szCs w:val="24"/>
              </w:rPr>
              <w:t>12.2.1. jeigu Tiekėjas nevykdo prisiimtų įsipareigojimų už Sutartyje nustatytą Sutarties kainą;</w:t>
            </w:r>
          </w:p>
          <w:p>
            <w:pPr>
              <w:pStyle w:val="Normal"/>
              <w:jc w:val="both"/>
              <w:rPr>
                <w:rFonts w:ascii="Arial" w:hAnsi="Arial" w:cs="Arial"/>
                <w:color w:val="000000"/>
              </w:rPr>
            </w:pPr>
            <w:r>
              <w:rPr>
                <w:rFonts w:cs="Arial" w:ascii="Arial" w:hAnsi="Arial"/>
                <w:color w:val="000000"/>
                <w:szCs w:val="24"/>
              </w:rPr>
              <w:t xml:space="preserve">12.2.2. </w:t>
            </w:r>
            <w:r>
              <w:rPr>
                <w:rFonts w:cs="Arial" w:ascii="Arial" w:hAnsi="Arial"/>
                <w:color w:val="000000"/>
                <w:kern w:val="2"/>
                <w:szCs w:val="24"/>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darbo dienas neištaiso pažeidimų;</w:t>
            </w:r>
          </w:p>
          <w:p>
            <w:pPr>
              <w:pStyle w:val="Normal"/>
              <w:spacing w:lineRule="auto" w:line="252"/>
              <w:jc w:val="both"/>
              <w:rPr>
                <w:rFonts w:ascii="Arial" w:hAnsi="Arial" w:cs="Arial"/>
                <w:color w:val="000000"/>
              </w:rPr>
            </w:pPr>
            <w:r>
              <w:rPr>
                <w:rFonts w:eastAsia="Arial" w:cs="Arial" w:ascii="Arial" w:hAnsi="Arial"/>
                <w:color w:val="000000"/>
                <w:kern w:val="2"/>
                <w:szCs w:val="24"/>
              </w:rPr>
              <w:t>12.2.3. jeigu Tiekėjas nesilaiko Sutartyje nustatytų Paslaugų teikimo terminų 2 (du) kartus iš eilės arba vėluoja suteikti Paslaugas daugiau nei 10 darbo dienų nuo Sutartyje nustatyto Paslaugų suteikimo termino;</w:t>
            </w:r>
          </w:p>
          <w:p>
            <w:pPr>
              <w:pStyle w:val="Normal"/>
              <w:tabs>
                <w:tab w:val="clear" w:pos="1296"/>
                <w:tab w:val="left" w:pos="567" w:leader="none"/>
                <w:tab w:val="left" w:pos="851" w:leader="none"/>
                <w:tab w:val="left" w:pos="992" w:leader="none"/>
                <w:tab w:val="left" w:pos="1134" w:leader="none"/>
              </w:tabs>
              <w:spacing w:lineRule="auto" w:line="252"/>
              <w:jc w:val="both"/>
              <w:rPr>
                <w:rFonts w:ascii="Arial" w:hAnsi="Arial" w:cs="Arial"/>
                <w:color w:val="000000"/>
              </w:rPr>
            </w:pPr>
            <w:r>
              <w:rPr>
                <w:rFonts w:eastAsia="Arial" w:cs="Arial" w:ascii="Arial" w:hAnsi="Arial"/>
                <w:color w:val="000000"/>
                <w:kern w:val="2"/>
                <w:szCs w:val="24"/>
              </w:rPr>
              <w:t>12.2.4. jeigu Tiekėjas pažeidžia Paslaugų suteikimo terminus ir priskaičiuotų netesybų už vėlavimą suma viršija 20 (dvidešimt) proc. Pradinės sutarties vertės;</w:t>
            </w:r>
          </w:p>
          <w:p>
            <w:pPr>
              <w:pStyle w:val="Normal"/>
              <w:tabs>
                <w:tab w:val="clear" w:pos="1296"/>
                <w:tab w:val="left" w:pos="567" w:leader="none"/>
                <w:tab w:val="left" w:pos="851" w:leader="none"/>
                <w:tab w:val="left" w:pos="992" w:leader="none"/>
                <w:tab w:val="left" w:pos="1134" w:leader="none"/>
              </w:tabs>
              <w:spacing w:lineRule="auto" w:line="252"/>
              <w:jc w:val="both"/>
              <w:rPr>
                <w:rFonts w:ascii="Arial" w:hAnsi="Arial" w:cs="Arial"/>
                <w:color w:val="000000"/>
              </w:rPr>
            </w:pPr>
            <w:r>
              <w:rPr>
                <w:rFonts w:eastAsia="Arial" w:cs="Arial" w:ascii="Arial" w:hAnsi="Arial"/>
                <w:color w:val="000000"/>
                <w:kern w:val="2"/>
                <w:szCs w:val="24"/>
              </w:rPr>
              <w:t>12.2.5. Tiekėjas pažeidžia Paslaugų suteikimo terminus ir dėl Paslaugų suteikimo vėlavimo Paslaugos tampa nebereikalingos;</w:t>
            </w:r>
          </w:p>
          <w:p>
            <w:pPr>
              <w:pStyle w:val="Normal"/>
              <w:tabs>
                <w:tab w:val="clear" w:pos="1296"/>
                <w:tab w:val="left" w:pos="567" w:leader="none"/>
                <w:tab w:val="left" w:pos="851" w:leader="none"/>
                <w:tab w:val="left" w:pos="992" w:leader="none"/>
                <w:tab w:val="left" w:pos="1134" w:leader="none"/>
              </w:tabs>
              <w:spacing w:lineRule="auto" w:line="252"/>
              <w:jc w:val="both"/>
              <w:rPr>
                <w:rFonts w:ascii="Arial" w:hAnsi="Arial" w:cs="Arial"/>
                <w:color w:val="000000"/>
              </w:rPr>
            </w:pPr>
            <w:r>
              <w:rPr>
                <w:rFonts w:eastAsia="Arial" w:cs="Arial" w:ascii="Arial" w:hAnsi="Arial"/>
                <w:color w:val="000000"/>
                <w:kern w:val="2"/>
                <w:szCs w:val="24"/>
              </w:rPr>
              <w:t>12.2.6. Tiekėjas daugiau kaip 2 (du) kartus suteikia Paslaugas, kurios neatitinka Sutartyje ir (ar) įstatymuose nustatytų reikalavimų Paslaugoms;</w:t>
            </w:r>
          </w:p>
          <w:p>
            <w:pPr>
              <w:pStyle w:val="Normal"/>
              <w:tabs>
                <w:tab w:val="clear" w:pos="1296"/>
                <w:tab w:val="left" w:pos="567" w:leader="none"/>
                <w:tab w:val="left" w:pos="851" w:leader="none"/>
                <w:tab w:val="left" w:pos="992" w:leader="none"/>
                <w:tab w:val="left" w:pos="1134" w:leader="none"/>
              </w:tabs>
              <w:spacing w:lineRule="auto" w:line="252"/>
              <w:jc w:val="both"/>
              <w:rPr>
                <w:rFonts w:ascii="Arial" w:hAnsi="Arial" w:cs="Arial"/>
                <w:color w:val="000000"/>
              </w:rPr>
            </w:pPr>
            <w:r>
              <w:rPr>
                <w:rFonts w:eastAsia="Arial" w:cs="Arial" w:ascii="Arial" w:hAnsi="Arial"/>
                <w:color w:val="000000"/>
                <w:kern w:val="2"/>
                <w:szCs w:val="24"/>
              </w:rPr>
              <w:t>12.2.7. Tiekėjo kvalifikacija tapo nebeatitinkančia pirkimo dokumentuose nustatytų Sutarties tinkamam vykdymui būtinų reikalavimų ir šie neatitikimai nebuvo ištaisyti per 14 (keturiolika) kalendorinių dienų nuo kvalifikacijos tapimo neatitinkančia dienos;</w:t>
            </w:r>
          </w:p>
          <w:p>
            <w:pPr>
              <w:pStyle w:val="Normal"/>
              <w:spacing w:lineRule="auto" w:line="252"/>
              <w:jc w:val="both"/>
              <w:rPr>
                <w:rFonts w:ascii="Arial" w:hAnsi="Arial" w:cs="Arial"/>
                <w:color w:val="000000"/>
              </w:rPr>
            </w:pPr>
            <w:r>
              <w:rPr>
                <w:rFonts w:eastAsia="Arial" w:cs="Arial" w:ascii="Arial" w:hAnsi="Arial"/>
                <w:color w:val="000000"/>
                <w:kern w:val="2"/>
                <w:szCs w:val="24"/>
              </w:rPr>
              <w:t>12.2.8. Tiekėjas pažeidžia Bendrųjų sąlygų nuostatas dėl Sutarties vykdymui pasitelkiamų naujų subtiekėjų ir (ar) specialistų / esamų subtiekėjų ir (ar) specialistų keitimo;</w:t>
            </w:r>
          </w:p>
          <w:p>
            <w:pPr>
              <w:pStyle w:val="Normal"/>
              <w:spacing w:lineRule="auto" w:line="252"/>
              <w:jc w:val="both"/>
              <w:rPr>
                <w:rFonts w:ascii="Arial" w:hAnsi="Arial" w:cs="Arial"/>
                <w:color w:val="000000"/>
              </w:rPr>
            </w:pPr>
            <w:r>
              <w:rPr>
                <w:rFonts w:eastAsia="Arial" w:cs="Arial" w:ascii="Arial" w:hAnsi="Arial"/>
                <w:color w:val="000000"/>
                <w:kern w:val="2"/>
                <w:szCs w:val="24"/>
              </w:rPr>
              <w:t>12.2.9. Tiekėjas 2 (du) kartus pažeidžia esminę Sutarties sąlygą.</w:t>
            </w:r>
          </w:p>
        </w:tc>
      </w:tr>
      <w:tr>
        <w:trPr>
          <w:trHeight w:val="300" w:hRule="atLeast"/>
        </w:trPr>
        <w:tc>
          <w:tcPr>
            <w:tcW w:w="10097"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Cs w:val="24"/>
              </w:rPr>
            </w:pPr>
            <w:r>
              <w:rPr>
                <w:rFonts w:cs="Arial" w:ascii="Arial" w:hAnsi="Arial"/>
                <w:b/>
                <w:kern w:val="2"/>
                <w:szCs w:val="24"/>
              </w:rPr>
              <w:t>13. APLINKOS APSAUGOS IR SOCIALINIAI KRITERIJAI</w:t>
            </w:r>
          </w:p>
        </w:tc>
      </w:tr>
      <w:tr>
        <w:trPr>
          <w:trHeight w:val="300" w:hRule="atLeast"/>
        </w:trPr>
        <w:tc>
          <w:tcPr>
            <w:tcW w:w="307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13.1. Su perkamomis paslaugomis susiję  aplinkos apsaugos kriterijai</w:t>
            </w:r>
          </w:p>
        </w:tc>
        <w:tc>
          <w:tcPr>
            <w:tcW w:w="7020"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000000"/>
                <w:kern w:val="2"/>
                <w:szCs w:val="24"/>
                <w:shd w:fill="FFFFFF" w:val="clear"/>
              </w:rPr>
            </w:pPr>
            <w:r>
              <w:rPr>
                <w:rFonts w:cs="Arial" w:ascii="Arial" w:hAnsi="Arial"/>
                <w:color w:val="000000"/>
                <w:kern w:val="2"/>
                <w:szCs w:val="24"/>
                <w:shd w:fill="FFFFFF" w:val="clear"/>
              </w:rPr>
              <w:t>Netaikoma</w:t>
            </w:r>
          </w:p>
          <w:p>
            <w:pPr>
              <w:pStyle w:val="Normal"/>
              <w:rPr>
                <w:rFonts w:ascii="Arial" w:hAnsi="Arial" w:cs="Arial"/>
                <w:color w:val="000000"/>
                <w:kern w:val="2"/>
                <w:szCs w:val="24"/>
                <w:shd w:fill="FFFFFF" w:val="clear"/>
              </w:rPr>
            </w:pPr>
            <w:r>
              <w:rPr>
                <w:rFonts w:cs="Arial" w:ascii="Arial" w:hAnsi="Arial"/>
                <w:color w:val="000000"/>
                <w:kern w:val="2"/>
                <w:szCs w:val="24"/>
                <w:shd w:fill="FFFFFF" w:val="clear"/>
              </w:rPr>
            </w:r>
          </w:p>
          <w:p>
            <w:pPr>
              <w:pStyle w:val="Normal"/>
              <w:rPr>
                <w:rFonts w:ascii="Arial" w:hAnsi="Arial" w:cs="Arial"/>
                <w:color w:val="FF0000"/>
                <w:kern w:val="2"/>
                <w:szCs w:val="24"/>
                <w:shd w:fill="FFFFFF" w:val="clear"/>
              </w:rPr>
            </w:pPr>
            <w:r>
              <w:rPr>
                <w:rFonts w:cs="Arial" w:ascii="Arial" w:hAnsi="Arial"/>
                <w:color w:val="FF0000"/>
                <w:kern w:val="2"/>
                <w:szCs w:val="24"/>
                <w:shd w:fill="FFFFFF" w:val="clear"/>
              </w:rPr>
            </w:r>
          </w:p>
          <w:p>
            <w:pPr>
              <w:pStyle w:val="Normal"/>
              <w:rPr>
                <w:rFonts w:ascii="Arial" w:hAnsi="Arial" w:cs="Arial"/>
                <w:kern w:val="2"/>
                <w:szCs w:val="24"/>
              </w:rPr>
            </w:pPr>
            <w:r>
              <w:rPr>
                <w:rFonts w:cs="Arial" w:ascii="Arial" w:hAnsi="Arial"/>
                <w:kern w:val="2"/>
                <w:szCs w:val="24"/>
              </w:rPr>
            </w:r>
          </w:p>
        </w:tc>
      </w:tr>
      <w:tr>
        <w:trPr>
          <w:trHeight w:val="300" w:hRule="atLeast"/>
        </w:trPr>
        <w:tc>
          <w:tcPr>
            <w:tcW w:w="307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13.2. Su perkamomis Paslaugomis susiję socialiniai kriterijai</w:t>
            </w:r>
          </w:p>
        </w:tc>
        <w:tc>
          <w:tcPr>
            <w:tcW w:w="7020"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000000"/>
                <w:kern w:val="2"/>
                <w:szCs w:val="24"/>
                <w:shd w:fill="FFFFFF" w:val="clear"/>
              </w:rPr>
            </w:pPr>
            <w:r>
              <w:rPr>
                <w:rFonts w:cs="Arial" w:ascii="Arial" w:hAnsi="Arial"/>
                <w:color w:val="000000"/>
                <w:kern w:val="2"/>
                <w:szCs w:val="24"/>
                <w:shd w:fill="FFFFFF" w:val="clear"/>
              </w:rPr>
              <w:t>Netaikoma</w:t>
            </w:r>
          </w:p>
          <w:p>
            <w:pPr>
              <w:pStyle w:val="Normal"/>
              <w:rPr>
                <w:rFonts w:ascii="Arial" w:hAnsi="Arial" w:cs="Arial"/>
                <w:color w:val="000000"/>
                <w:kern w:val="2"/>
                <w:szCs w:val="24"/>
                <w:shd w:fill="FFFFFF" w:val="clear"/>
              </w:rPr>
            </w:pPr>
            <w:r>
              <w:rPr>
                <w:rFonts w:cs="Arial" w:ascii="Arial" w:hAnsi="Arial"/>
                <w:color w:val="000000"/>
                <w:kern w:val="2"/>
                <w:szCs w:val="24"/>
                <w:shd w:fill="FFFFFF" w:val="clear"/>
              </w:rPr>
            </w:r>
          </w:p>
          <w:p>
            <w:pPr>
              <w:pStyle w:val="Normal"/>
              <w:rPr>
                <w:rFonts w:ascii="Arial" w:hAnsi="Arial" w:cs="Arial"/>
                <w:color w:val="FF0000"/>
                <w:kern w:val="2"/>
                <w:szCs w:val="24"/>
                <w:shd w:fill="FFFFFF" w:val="clear"/>
              </w:rPr>
            </w:pPr>
            <w:r>
              <w:rPr>
                <w:rFonts w:cs="Arial" w:ascii="Arial" w:hAnsi="Arial"/>
                <w:color w:val="FF0000"/>
                <w:kern w:val="2"/>
                <w:szCs w:val="24"/>
                <w:shd w:fill="FFFFFF" w:val="clear"/>
              </w:rPr>
            </w:r>
          </w:p>
        </w:tc>
      </w:tr>
      <w:tr>
        <w:trPr>
          <w:trHeight w:val="300" w:hRule="atLeast"/>
        </w:trPr>
        <w:tc>
          <w:tcPr>
            <w:tcW w:w="10097"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Cs w:val="24"/>
              </w:rPr>
            </w:pPr>
            <w:r>
              <w:rPr>
                <w:rFonts w:cs="Arial" w:ascii="Arial" w:hAnsi="Arial"/>
                <w:b/>
                <w:kern w:val="2"/>
                <w:szCs w:val="24"/>
              </w:rPr>
              <w:t>14. BENDRŲJŲ SĄLYGŲ PAKEITIMAI IR PAPILDYMAI</w:t>
            </w:r>
          </w:p>
        </w:tc>
      </w:tr>
      <w:tr>
        <w:trPr>
          <w:trHeight w:val="300" w:hRule="atLeast"/>
        </w:trPr>
        <w:tc>
          <w:tcPr>
            <w:tcW w:w="307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Cs w:val="24"/>
              </w:rPr>
            </w:pPr>
            <w:r>
              <w:rPr>
                <w:rFonts w:cs="Arial" w:ascii="Arial" w:hAnsi="Arial"/>
                <w:b/>
                <w:bCs/>
                <w:kern w:val="2"/>
                <w:szCs w:val="24"/>
              </w:rPr>
              <w:t>14.1.</w:t>
            </w:r>
          </w:p>
        </w:tc>
        <w:tc>
          <w:tcPr>
            <w:tcW w:w="7020"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 xml:space="preserve">Šalys susitaria pakeisti nurodytą Sutarties Bendrųjų sąlygų punktą ir išdėstyti jį nauja redakcija: </w:t>
            </w:r>
            <w:r>
              <w:rPr>
                <w:rFonts w:cs="Arial" w:ascii="Arial" w:hAnsi="Arial"/>
                <w:i/>
                <w:kern w:val="2"/>
                <w:szCs w:val="24"/>
              </w:rPr>
              <w:t>netaikoma</w:t>
            </w:r>
            <w:r>
              <w:rPr>
                <w:rFonts w:cs="Arial" w:ascii="Arial" w:hAnsi="Arial"/>
                <w:kern w:val="2"/>
                <w:szCs w:val="24"/>
              </w:rPr>
              <w:t>.</w:t>
            </w:r>
          </w:p>
        </w:tc>
      </w:tr>
      <w:tr>
        <w:trPr>
          <w:trHeight w:val="300" w:hRule="atLeast"/>
        </w:trPr>
        <w:tc>
          <w:tcPr>
            <w:tcW w:w="307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Cs w:val="24"/>
              </w:rPr>
            </w:pPr>
            <w:r>
              <w:rPr>
                <w:rFonts w:cs="Arial" w:ascii="Arial" w:hAnsi="Arial"/>
                <w:b/>
                <w:bCs/>
                <w:kern w:val="2"/>
                <w:szCs w:val="24"/>
              </w:rPr>
              <w:t>14.2.</w:t>
            </w:r>
          </w:p>
        </w:tc>
        <w:tc>
          <w:tcPr>
            <w:tcW w:w="7020"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 xml:space="preserve">Šalys susitaria papildyti Sutarties Bendrąsias sąlygas nurodytu punktu, tačiau kitų punktų numeracijos nekeisti: </w:t>
            </w:r>
            <w:r>
              <w:rPr>
                <w:rFonts w:cs="Arial" w:ascii="Arial" w:hAnsi="Arial"/>
                <w:i/>
                <w:kern w:val="2"/>
                <w:szCs w:val="24"/>
              </w:rPr>
              <w:t>netaikoma</w:t>
            </w:r>
            <w:r>
              <w:rPr>
                <w:rFonts w:cs="Arial" w:ascii="Arial" w:hAnsi="Arial"/>
                <w:kern w:val="2"/>
                <w:szCs w:val="24"/>
              </w:rPr>
              <w:t>.</w:t>
            </w:r>
          </w:p>
        </w:tc>
      </w:tr>
      <w:tr>
        <w:trPr>
          <w:trHeight w:val="300" w:hRule="atLeast"/>
        </w:trPr>
        <w:tc>
          <w:tcPr>
            <w:tcW w:w="307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Cs w:val="24"/>
              </w:rPr>
            </w:pPr>
            <w:r>
              <w:rPr>
                <w:rFonts w:cs="Arial" w:ascii="Arial" w:hAnsi="Arial"/>
                <w:b/>
                <w:bCs/>
                <w:kern w:val="2"/>
                <w:szCs w:val="24"/>
              </w:rPr>
              <w:t>14.3.</w:t>
            </w:r>
          </w:p>
        </w:tc>
        <w:tc>
          <w:tcPr>
            <w:tcW w:w="7020"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 xml:space="preserve">Šalys susitaria išbraukti nurodytą Sutarties Bendrųjų sąlygų punktą, tačiau kitų punktų numeracijos nekeisti: </w:t>
            </w:r>
            <w:r>
              <w:rPr>
                <w:rFonts w:cs="Arial" w:ascii="Arial" w:hAnsi="Arial"/>
                <w:i/>
                <w:kern w:val="2"/>
                <w:szCs w:val="24"/>
              </w:rPr>
              <w:t>netaikoma</w:t>
            </w:r>
            <w:r>
              <w:rPr>
                <w:rFonts w:cs="Arial" w:ascii="Arial" w:hAnsi="Arial"/>
                <w:kern w:val="2"/>
                <w:szCs w:val="24"/>
              </w:rPr>
              <w:t>.</w:t>
            </w:r>
          </w:p>
        </w:tc>
      </w:tr>
      <w:tr>
        <w:trPr>
          <w:trHeight w:val="300" w:hRule="atLeast"/>
        </w:trPr>
        <w:tc>
          <w:tcPr>
            <w:tcW w:w="307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Cs w:val="24"/>
              </w:rPr>
            </w:pPr>
            <w:r>
              <w:rPr>
                <w:rFonts w:cs="Arial" w:ascii="Arial" w:hAnsi="Arial"/>
                <w:b/>
                <w:bCs/>
                <w:kern w:val="2"/>
                <w:szCs w:val="24"/>
              </w:rPr>
              <w:t>14.4.</w:t>
            </w:r>
          </w:p>
        </w:tc>
        <w:tc>
          <w:tcPr>
            <w:tcW w:w="7020"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color w:val="0070C0"/>
                <w:kern w:val="2"/>
                <w:szCs w:val="24"/>
              </w:rPr>
            </w:pPr>
            <w:r>
              <w:rPr>
                <w:rFonts w:cs="Arial" w:ascii="Arial" w:hAnsi="Arial"/>
                <w:kern w:val="2"/>
                <w:szCs w:val="24"/>
              </w:rPr>
              <w:t>Netaikoma</w:t>
            </w:r>
          </w:p>
        </w:tc>
      </w:tr>
      <w:tr>
        <w:trPr>
          <w:trHeight w:val="300" w:hRule="atLeast"/>
        </w:trPr>
        <w:tc>
          <w:tcPr>
            <w:tcW w:w="307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Cs w:val="24"/>
              </w:rPr>
            </w:pPr>
            <w:r>
              <w:rPr>
                <w:rFonts w:cs="Arial" w:ascii="Arial" w:hAnsi="Arial"/>
                <w:b/>
                <w:bCs/>
                <w:kern w:val="2"/>
                <w:szCs w:val="24"/>
              </w:rPr>
              <w:t>14.5.</w:t>
            </w:r>
          </w:p>
        </w:tc>
        <w:tc>
          <w:tcPr>
            <w:tcW w:w="7020"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Sutarties Bendrosiose sąlygose nurodytos alternatyvios nuostatos (su prierašu „jei taikoma“ ir pan.) taikomos tik tokiu atveju, jeigu jos konkrečiai aprašomos Sutarties Specialiosiose sąlygose.</w:t>
            </w:r>
          </w:p>
        </w:tc>
      </w:tr>
      <w:tr>
        <w:trPr>
          <w:trHeight w:val="300" w:hRule="atLeast"/>
        </w:trPr>
        <w:tc>
          <w:tcPr>
            <w:tcW w:w="10097"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15. SUTARTIES PRIEDAI</w:t>
            </w:r>
          </w:p>
        </w:tc>
      </w:tr>
      <w:tr>
        <w:trPr>
          <w:trHeight w:val="300" w:hRule="atLeast"/>
        </w:trPr>
        <w:tc>
          <w:tcPr>
            <w:tcW w:w="3077"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15.1. Priedas Nr. 1</w:t>
            </w:r>
          </w:p>
        </w:tc>
        <w:tc>
          <w:tcPr>
            <w:tcW w:w="7020"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Techninė specifikacija</w:t>
            </w:r>
          </w:p>
        </w:tc>
      </w:tr>
      <w:tr>
        <w:trPr>
          <w:trHeight w:val="300" w:hRule="atLeast"/>
        </w:trPr>
        <w:tc>
          <w:tcPr>
            <w:tcW w:w="3077"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15.2. Priedas Nr. 2</w:t>
            </w:r>
          </w:p>
        </w:tc>
        <w:tc>
          <w:tcPr>
            <w:tcW w:w="7020"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Pasiūlymas</w:t>
            </w:r>
          </w:p>
        </w:tc>
      </w:tr>
      <w:tr>
        <w:trPr>
          <w:trHeight w:val="300" w:hRule="atLeast"/>
        </w:trPr>
        <w:tc>
          <w:tcPr>
            <w:tcW w:w="3077"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15.3. Priedas Nr. 3</w:t>
            </w:r>
          </w:p>
        </w:tc>
        <w:tc>
          <w:tcPr>
            <w:tcW w:w="7020"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r>
          </w:p>
        </w:tc>
      </w:tr>
      <w:tr>
        <w:trPr>
          <w:trHeight w:val="300" w:hRule="atLeast"/>
        </w:trPr>
        <w:tc>
          <w:tcPr>
            <w:tcW w:w="3077"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15.4. Priedas Nr. 4</w:t>
            </w:r>
          </w:p>
        </w:tc>
        <w:tc>
          <w:tcPr>
            <w:tcW w:w="7020"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r>
          </w:p>
        </w:tc>
      </w:tr>
      <w:tr>
        <w:trPr>
          <w:trHeight w:val="300" w:hRule="atLeast"/>
        </w:trPr>
        <w:tc>
          <w:tcPr>
            <w:tcW w:w="3077"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15.5. Priedas Nr. 5</w:t>
            </w:r>
          </w:p>
        </w:tc>
        <w:tc>
          <w:tcPr>
            <w:tcW w:w="7020"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r>
          </w:p>
        </w:tc>
      </w:tr>
      <w:tr>
        <w:trPr/>
        <w:tc>
          <w:tcPr>
            <w:tcW w:w="10097"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16. ŠALIŲ ATSTOVŲ PARAŠAI</w:t>
            </w:r>
          </w:p>
        </w:tc>
      </w:tr>
      <w:tr>
        <w:trPr/>
        <w:tc>
          <w:tcPr>
            <w:tcW w:w="5223"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PIRKĖJAS</w:t>
            </w:r>
          </w:p>
        </w:tc>
        <w:tc>
          <w:tcPr>
            <w:tcW w:w="4874"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TIEKĖJAS</w:t>
            </w:r>
          </w:p>
        </w:tc>
      </w:tr>
      <w:tr>
        <w:trPr/>
        <w:tc>
          <w:tcPr>
            <w:tcW w:w="5223"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olor w:val="4472C4"/>
                <w:kern w:val="2"/>
                <w:szCs w:val="24"/>
              </w:rPr>
            </w:pPr>
            <w:r>
              <w:rPr>
                <w:rFonts w:cs="Arial" w:ascii="Arial" w:hAnsi="Arial"/>
                <w:color w:val="4472C4"/>
                <w:kern w:val="2"/>
                <w:szCs w:val="24"/>
              </w:rPr>
              <w:t>(nurodomos atstovo pareigos, vardas, pavardė)</w:t>
            </w:r>
          </w:p>
        </w:tc>
        <w:tc>
          <w:tcPr>
            <w:tcW w:w="4874"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color w:val="4472C4"/>
                <w:kern w:val="2"/>
                <w:szCs w:val="24"/>
              </w:rPr>
              <w:t>(nurodomos atstovo pareigos, vardas, pavardė)</w:t>
            </w:r>
          </w:p>
        </w:tc>
      </w:tr>
      <w:tr>
        <w:trPr/>
        <w:tc>
          <w:tcPr>
            <w:tcW w:w="5223"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color w:val="4472C4"/>
                <w:kern w:val="2"/>
                <w:szCs w:val="24"/>
              </w:rPr>
            </w:pPr>
            <w:r>
              <w:rPr>
                <w:rFonts w:cs="Arial" w:ascii="Arial" w:hAnsi="Arial"/>
                <w:b/>
                <w:color w:val="4472C4"/>
                <w:kern w:val="2"/>
                <w:szCs w:val="24"/>
              </w:rPr>
              <w:t>(parašas)</w:t>
            </w:r>
          </w:p>
        </w:tc>
        <w:tc>
          <w:tcPr>
            <w:tcW w:w="4874"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color w:val="4472C4"/>
                <w:kern w:val="2"/>
                <w:szCs w:val="24"/>
              </w:rPr>
            </w:pPr>
            <w:r>
              <w:rPr>
                <w:rFonts w:cs="Arial" w:ascii="Arial" w:hAnsi="Arial"/>
                <w:b/>
                <w:color w:val="4472C4"/>
                <w:kern w:val="2"/>
                <w:szCs w:val="24"/>
              </w:rPr>
              <w:t>(parašas)</w:t>
            </w:r>
          </w:p>
        </w:tc>
      </w:tr>
    </w:tbl>
    <w:p>
      <w:pPr>
        <w:pStyle w:val="Normal"/>
        <w:rPr>
          <w:rFonts w:ascii="Arial" w:hAnsi="Arial" w:cs="Arial"/>
          <w:szCs w:val="24"/>
        </w:rPr>
      </w:pPr>
      <w:r>
        <w:rPr>
          <w:rFonts w:cs="Arial" w:ascii="Arial" w:hAnsi="Arial"/>
          <w:szCs w:val="24"/>
        </w:rPr>
      </w:r>
    </w:p>
    <w:p>
      <w:pPr>
        <w:pStyle w:val="Normal"/>
        <w:tabs>
          <w:tab w:val="clear" w:pos="1296"/>
          <w:tab w:val="left" w:pos="5400" w:leader="none"/>
        </w:tabs>
        <w:jc w:val="center"/>
        <w:textAlignment w:val="center"/>
        <w:rPr>
          <w:rFonts w:ascii="Arial" w:hAnsi="Arial" w:cs="Arial"/>
        </w:rPr>
      </w:pPr>
      <w:r>
        <w:rPr>
          <w:rFonts w:cs="Arial" w:ascii="Arial" w:hAnsi="Arial"/>
          <w:bCs/>
        </w:rPr>
        <w:t>______________</w:t>
      </w:r>
    </w:p>
    <w:sectPr>
      <w:headerReference w:type="even" r:id="rId3"/>
      <w:headerReference w:type="default" r:id="rId4"/>
      <w:headerReference w:type="first" r:id="rId5"/>
      <w:footerReference w:type="even" r:id="rId6"/>
      <w:footerReference w:type="default" r:id="rId7"/>
      <w:footerReference w:type="first" r:id="rId8"/>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9</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30"/>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f60bd9"/>
    <w:rPr>
      <w:color w:val="808080"/>
    </w:rPr>
  </w:style>
  <w:style w:type="character" w:styleId="Galinsinaosramenys" w:customStyle="1">
    <w:name w:val="Galinės išnašos rašmenys"/>
    <w:qFormat/>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customStyle="1">
    <w:name w:val="Rodyklė"/>
    <w:basedOn w:val="Normal"/>
    <w:qFormat/>
    <w:pPr>
      <w:suppressLineNumbers/>
    </w:pPr>
    <w:rPr>
      <w:rFonts w:cs="Lucida Sans"/>
    </w:rPr>
  </w:style>
  <w:style w:type="paragraph" w:styleId="Caption1">
    <w:name w:val="caption1"/>
    <w:basedOn w:val="Normal"/>
    <w:next w:val="BodyText"/>
    <w:qFormat/>
    <w:pPr>
      <w:suppressLineNumbers/>
      <w:spacing w:before="120" w:after="120"/>
    </w:pPr>
    <w:rPr>
      <w:rFonts w:cs="Lucida Sans"/>
      <w:i/>
      <w:iCs/>
      <w:szCs w:val="24"/>
    </w:rPr>
  </w:style>
  <w:style w:type="paragraph" w:styleId="Puslapinantratirporat" w:customStyle="1">
    <w:name w:val="Puslapinė antraštė ir poraštė"/>
    <w:basedOn w:val="Normal"/>
    <w:qFormat/>
    <w:pPr/>
    <w:rPr/>
  </w:style>
  <w:style w:type="paragraph" w:styleId="Header">
    <w:name w:val="Header"/>
    <w:basedOn w:val="Puslapinantratirporat"/>
    <w:pPr/>
    <w:rPr/>
  </w:style>
  <w:style w:type="paragraph" w:styleId="Footer">
    <w:name w:val="Footer"/>
    <w:basedOn w:val="Puslapinantratirporat"/>
    <w:pPr/>
    <w:rPr/>
  </w:style>
  <w:style w:type="paragraph" w:styleId="ListParagraph">
    <w:name w:val="List Paragraph"/>
    <w:basedOn w:val="Normal"/>
    <w:qFormat/>
    <w:pPr>
      <w:spacing w:before="0" w:after="0"/>
      <w:ind w:left="720"/>
      <w:contextualSpacing/>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rima.sodaitiene@prienai.lt"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6BDE4A9-733B-43FE-80A3-F5740CA00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895</TotalTime>
  <Application>LibreOffice/24.2.0.3$Windows_X86_64 LibreOffice_project/da48488a73ddd66ea24cf16bbc4f7b9c08e9bea1</Application>
  <AppVersion>15.0000</AppVersion>
  <Pages>9</Pages>
  <Words>2080</Words>
  <Characters>14648</Characters>
  <CharactersWithSpaces>16529</CharactersWithSpaces>
  <Paragraphs>210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2025-01-10T07:10:00Z</dcterms:created>
  <dc:creator>Rasa Politikienė</dc:creator>
  <dc:description/>
  <dc:language>lt-LT</dc:language>
  <cp:lastModifiedBy/>
  <cp:lastPrinted>2017-06-29T23:42:00Z</cp:lastPrinted>
  <dcterms:modified xsi:type="dcterms:W3CDTF">2026-08-20T10:55:57Z</dcterms:modified>
  <cp:revision>37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